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C049B"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C049B" w:rsidRDefault="000A03B2" w:rsidP="00DE264A">
            <w:pPr>
              <w:tabs>
                <w:tab w:val="left" w:pos="-108"/>
              </w:tabs>
              <w:ind w:left="-108"/>
              <w:jc w:val="left"/>
              <w:rPr>
                <w:rFonts w:cs="Arial"/>
                <w:b/>
                <w:bCs/>
                <w:i/>
                <w:iCs/>
                <w:color w:val="000066"/>
                <w:sz w:val="12"/>
                <w:szCs w:val="12"/>
                <w:lang w:eastAsia="it-IT"/>
              </w:rPr>
            </w:pPr>
            <w:r w:rsidRPr="00DC049B">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C049B">
              <w:rPr>
                <w:rFonts w:ascii="AdvP6960" w:hAnsi="AdvP6960" w:cs="AdvP6960"/>
                <w:color w:val="241F20"/>
                <w:szCs w:val="18"/>
                <w:lang w:eastAsia="it-IT"/>
              </w:rPr>
              <w:t xml:space="preserve"> </w:t>
            </w:r>
            <w:r w:rsidRPr="00DC049B">
              <w:rPr>
                <w:rFonts w:cs="Arial"/>
                <w:b/>
                <w:bCs/>
                <w:i/>
                <w:iCs/>
                <w:color w:val="000066"/>
                <w:sz w:val="24"/>
                <w:szCs w:val="24"/>
                <w:lang w:eastAsia="it-IT"/>
              </w:rPr>
              <w:t>CHEMICAL ENGINEERING</w:t>
            </w:r>
            <w:r w:rsidRPr="00DC049B">
              <w:rPr>
                <w:rFonts w:cs="Arial"/>
                <w:b/>
                <w:bCs/>
                <w:i/>
                <w:iCs/>
                <w:color w:val="0033FF"/>
                <w:sz w:val="24"/>
                <w:szCs w:val="24"/>
                <w:lang w:eastAsia="it-IT"/>
              </w:rPr>
              <w:t xml:space="preserve"> </w:t>
            </w:r>
            <w:r w:rsidRPr="00DC049B">
              <w:rPr>
                <w:rFonts w:cs="Arial"/>
                <w:b/>
                <w:bCs/>
                <w:i/>
                <w:iCs/>
                <w:color w:val="666666"/>
                <w:sz w:val="24"/>
                <w:szCs w:val="24"/>
                <w:lang w:eastAsia="it-IT"/>
              </w:rPr>
              <w:t>TRANSACTIONS</w:t>
            </w:r>
            <w:r w:rsidRPr="00DC049B">
              <w:rPr>
                <w:color w:val="333333"/>
                <w:sz w:val="24"/>
                <w:szCs w:val="24"/>
                <w:lang w:eastAsia="it-IT"/>
              </w:rPr>
              <w:t xml:space="preserve"> </w:t>
            </w:r>
            <w:r w:rsidRPr="00DC049B">
              <w:rPr>
                <w:rFonts w:cs="Arial"/>
                <w:b/>
                <w:bCs/>
                <w:i/>
                <w:iCs/>
                <w:color w:val="000066"/>
                <w:sz w:val="27"/>
                <w:szCs w:val="27"/>
                <w:lang w:eastAsia="it-IT"/>
              </w:rPr>
              <w:br/>
            </w:r>
          </w:p>
          <w:p w14:paraId="4B780582" w14:textId="38BD1662" w:rsidR="000A03B2" w:rsidRPr="00DC049B" w:rsidRDefault="00A76EFC" w:rsidP="00B57E6F">
            <w:pPr>
              <w:tabs>
                <w:tab w:val="left" w:pos="-108"/>
              </w:tabs>
              <w:ind w:left="-108"/>
              <w:rPr>
                <w:rFonts w:cs="Arial"/>
                <w:b/>
                <w:bCs/>
                <w:i/>
                <w:iCs/>
                <w:color w:val="000066"/>
                <w:sz w:val="22"/>
                <w:szCs w:val="22"/>
                <w:lang w:eastAsia="it-IT"/>
              </w:rPr>
            </w:pPr>
            <w:r w:rsidRPr="00DC049B">
              <w:rPr>
                <w:rFonts w:cs="Arial"/>
                <w:b/>
                <w:bCs/>
                <w:i/>
                <w:iCs/>
                <w:color w:val="000066"/>
                <w:sz w:val="22"/>
                <w:szCs w:val="22"/>
                <w:lang w:eastAsia="it-IT"/>
              </w:rPr>
              <w:t xml:space="preserve">VOL. </w:t>
            </w:r>
            <w:r w:rsidR="00825DD9" w:rsidRPr="00DC049B">
              <w:rPr>
                <w:rFonts w:cs="Arial"/>
                <w:b/>
                <w:bCs/>
                <w:i/>
                <w:iCs/>
                <w:color w:val="000066"/>
                <w:sz w:val="22"/>
                <w:szCs w:val="22"/>
                <w:lang w:eastAsia="it-IT"/>
              </w:rPr>
              <w:t>xxx</w:t>
            </w:r>
            <w:r w:rsidR="007B48F9" w:rsidRPr="00DC049B">
              <w:rPr>
                <w:rFonts w:cs="Arial"/>
                <w:b/>
                <w:bCs/>
                <w:i/>
                <w:iCs/>
                <w:color w:val="000066"/>
                <w:sz w:val="22"/>
                <w:szCs w:val="22"/>
                <w:lang w:eastAsia="it-IT"/>
              </w:rPr>
              <w:t>,</w:t>
            </w:r>
            <w:r w:rsidR="00FA5F5F" w:rsidRPr="00DC049B">
              <w:rPr>
                <w:rFonts w:cs="Arial"/>
                <w:b/>
                <w:bCs/>
                <w:i/>
                <w:iCs/>
                <w:color w:val="000066"/>
                <w:sz w:val="22"/>
                <w:szCs w:val="22"/>
                <w:lang w:eastAsia="it-IT"/>
              </w:rPr>
              <w:t xml:space="preserve"> 20</w:t>
            </w:r>
            <w:r w:rsidR="00DF5072" w:rsidRPr="00DC049B">
              <w:rPr>
                <w:rFonts w:cs="Arial"/>
                <w:b/>
                <w:bCs/>
                <w:i/>
                <w:iCs/>
                <w:color w:val="000066"/>
                <w:sz w:val="22"/>
                <w:szCs w:val="22"/>
                <w:lang w:eastAsia="it-IT"/>
              </w:rPr>
              <w:t>2</w:t>
            </w:r>
            <w:r w:rsidR="00825DD9" w:rsidRPr="00DC049B">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DC049B" w:rsidRDefault="000A03B2" w:rsidP="00CD5FE2">
            <w:pPr>
              <w:spacing w:line="140" w:lineRule="atLeast"/>
              <w:jc w:val="right"/>
              <w:rPr>
                <w:rFonts w:cs="Arial"/>
                <w:sz w:val="14"/>
                <w:szCs w:val="14"/>
              </w:rPr>
            </w:pPr>
            <w:r w:rsidRPr="00DC049B">
              <w:rPr>
                <w:rFonts w:cs="Arial"/>
                <w:sz w:val="14"/>
                <w:szCs w:val="14"/>
              </w:rPr>
              <w:t>A publication of</w:t>
            </w:r>
          </w:p>
          <w:p w14:paraId="599E5441" w14:textId="77777777" w:rsidR="000A03B2" w:rsidRPr="00DC049B" w:rsidRDefault="000A03B2" w:rsidP="00CD5FE2">
            <w:pPr>
              <w:jc w:val="right"/>
            </w:pPr>
            <w:r w:rsidRPr="00DC049B">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C049B" w14:paraId="380FA3CD" w14:textId="77777777" w:rsidTr="00DE264A">
        <w:trPr>
          <w:trHeight w:val="567"/>
          <w:jc w:val="center"/>
        </w:trPr>
        <w:tc>
          <w:tcPr>
            <w:tcW w:w="6946" w:type="dxa"/>
            <w:vMerge/>
            <w:tcBorders>
              <w:right w:val="single" w:sz="4" w:space="0" w:color="auto"/>
            </w:tcBorders>
          </w:tcPr>
          <w:p w14:paraId="39E5E4C1" w14:textId="77777777" w:rsidR="000A03B2" w:rsidRPr="00DC049B"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C049B" w:rsidRDefault="000A03B2" w:rsidP="00CD5FE2">
            <w:pPr>
              <w:spacing w:line="140" w:lineRule="atLeast"/>
              <w:jc w:val="right"/>
              <w:rPr>
                <w:rFonts w:cs="Arial"/>
                <w:sz w:val="14"/>
                <w:szCs w:val="14"/>
              </w:rPr>
            </w:pPr>
            <w:r w:rsidRPr="00DC049B">
              <w:rPr>
                <w:rFonts w:cs="Arial"/>
                <w:sz w:val="14"/>
                <w:szCs w:val="14"/>
              </w:rPr>
              <w:t>The Italian Association</w:t>
            </w:r>
          </w:p>
          <w:p w14:paraId="7522B1D2" w14:textId="77777777" w:rsidR="000A03B2" w:rsidRPr="00DC049B" w:rsidRDefault="000A03B2" w:rsidP="00CD5FE2">
            <w:pPr>
              <w:spacing w:line="140" w:lineRule="atLeast"/>
              <w:jc w:val="right"/>
              <w:rPr>
                <w:rFonts w:cs="Arial"/>
                <w:sz w:val="14"/>
                <w:szCs w:val="14"/>
              </w:rPr>
            </w:pPr>
            <w:r w:rsidRPr="00DC049B">
              <w:rPr>
                <w:rFonts w:cs="Arial"/>
                <w:sz w:val="14"/>
                <w:szCs w:val="14"/>
              </w:rPr>
              <w:t>of Chemical Engineering</w:t>
            </w:r>
          </w:p>
          <w:p w14:paraId="4F0CC5DE" w14:textId="47FDB2FC" w:rsidR="000A03B2" w:rsidRPr="00DC049B" w:rsidRDefault="000D0268" w:rsidP="00CD5FE2">
            <w:pPr>
              <w:spacing w:line="140" w:lineRule="atLeast"/>
              <w:jc w:val="right"/>
              <w:rPr>
                <w:rFonts w:cs="Arial"/>
                <w:sz w:val="13"/>
                <w:szCs w:val="13"/>
              </w:rPr>
            </w:pPr>
            <w:r w:rsidRPr="00DC049B">
              <w:rPr>
                <w:rFonts w:cs="Arial"/>
                <w:sz w:val="13"/>
                <w:szCs w:val="13"/>
              </w:rPr>
              <w:t>Online at www.cetjournal.it</w:t>
            </w:r>
          </w:p>
        </w:tc>
      </w:tr>
      <w:tr w:rsidR="000A03B2" w:rsidRPr="00DC049B" w14:paraId="2D1B7169" w14:textId="77777777" w:rsidTr="00DE264A">
        <w:trPr>
          <w:trHeight w:val="68"/>
          <w:jc w:val="center"/>
        </w:trPr>
        <w:tc>
          <w:tcPr>
            <w:tcW w:w="8789" w:type="dxa"/>
            <w:gridSpan w:val="2"/>
          </w:tcPr>
          <w:p w14:paraId="4B0BB442" w14:textId="4EADF2C2" w:rsidR="00300E56" w:rsidRPr="003D0F13" w:rsidRDefault="00300E56" w:rsidP="00B57E6F">
            <w:pPr>
              <w:ind w:left="-107"/>
              <w:outlineLvl w:val="2"/>
              <w:rPr>
                <w:rFonts w:ascii="Tahoma" w:hAnsi="Tahoma" w:cs="Tahoma"/>
                <w:bCs/>
                <w:color w:val="000000"/>
                <w:sz w:val="14"/>
                <w:szCs w:val="14"/>
                <w:lang w:val="it-IT" w:eastAsia="it-IT"/>
              </w:rPr>
            </w:pPr>
            <w:r w:rsidRPr="003D0F13">
              <w:rPr>
                <w:rFonts w:ascii="Tahoma" w:hAnsi="Tahoma" w:cs="Tahoma"/>
                <w:iCs/>
                <w:color w:val="333333"/>
                <w:sz w:val="14"/>
                <w:szCs w:val="14"/>
                <w:lang w:val="it-IT" w:eastAsia="it-IT"/>
              </w:rPr>
              <w:t>Guest Editors:</w:t>
            </w:r>
            <w:r w:rsidR="00904C62" w:rsidRPr="003D0F13">
              <w:rPr>
                <w:rFonts w:ascii="Tahoma" w:hAnsi="Tahoma" w:cs="Tahoma"/>
                <w:iCs/>
                <w:color w:val="333333"/>
                <w:sz w:val="14"/>
                <w:szCs w:val="14"/>
                <w:lang w:val="it-IT" w:eastAsia="it-IT"/>
              </w:rPr>
              <w:t xml:space="preserve"> </w:t>
            </w:r>
            <w:r w:rsidR="00B57E6F" w:rsidRPr="003D0F13">
              <w:rPr>
                <w:rFonts w:ascii="Tahoma" w:hAnsi="Tahoma" w:cs="Tahoma"/>
                <w:color w:val="000000"/>
                <w:sz w:val="14"/>
                <w:szCs w:val="14"/>
                <w:shd w:val="clear" w:color="auto" w:fill="FFFFFF"/>
                <w:lang w:val="it-IT"/>
              </w:rPr>
              <w:t xml:space="preserve">Valerio Cozzani, </w:t>
            </w:r>
            <w:r w:rsidR="001331DF" w:rsidRPr="003D0F13">
              <w:rPr>
                <w:rFonts w:ascii="Tahoma" w:hAnsi="Tahoma" w:cs="Tahoma"/>
                <w:color w:val="000000"/>
                <w:sz w:val="14"/>
                <w:szCs w:val="14"/>
                <w:shd w:val="clear" w:color="auto" w:fill="FFFFFF"/>
                <w:lang w:val="it-IT"/>
              </w:rPr>
              <w:t>Bruno Fabiano</w:t>
            </w:r>
            <w:r w:rsidR="00B57E6F" w:rsidRPr="003D0F13">
              <w:rPr>
                <w:rFonts w:ascii="Tahoma" w:hAnsi="Tahoma" w:cs="Tahoma"/>
                <w:color w:val="000000"/>
                <w:sz w:val="14"/>
                <w:szCs w:val="14"/>
                <w:shd w:val="clear" w:color="auto" w:fill="FFFFFF"/>
                <w:lang w:val="it-IT"/>
              </w:rPr>
              <w:t xml:space="preserve">, </w:t>
            </w:r>
            <w:r w:rsidR="00B57E6F" w:rsidRPr="003D0F13">
              <w:rPr>
                <w:rFonts w:ascii="Tahoma" w:hAnsi="Tahoma" w:cs="Tahoma"/>
                <w:bCs/>
                <w:color w:val="000000"/>
                <w:sz w:val="14"/>
                <w:szCs w:val="14"/>
                <w:lang w:val="it-IT" w:eastAsia="it-IT"/>
              </w:rPr>
              <w:t>Genserik Reniers</w:t>
            </w:r>
          </w:p>
          <w:p w14:paraId="1B0F1814" w14:textId="7E8B8C7E" w:rsidR="000A03B2" w:rsidRPr="00DC049B" w:rsidRDefault="00FA5F5F" w:rsidP="00B57E6F">
            <w:pPr>
              <w:tabs>
                <w:tab w:val="left" w:pos="-108"/>
              </w:tabs>
              <w:spacing w:line="140" w:lineRule="atLeast"/>
              <w:ind w:left="-107"/>
              <w:jc w:val="left"/>
            </w:pPr>
            <w:r w:rsidRPr="00DC049B">
              <w:rPr>
                <w:rFonts w:ascii="Tahoma" w:hAnsi="Tahoma" w:cs="Tahoma"/>
                <w:iCs/>
                <w:color w:val="333333"/>
                <w:sz w:val="14"/>
                <w:szCs w:val="14"/>
                <w:lang w:eastAsia="it-IT"/>
              </w:rPr>
              <w:t>Copyright © 20</w:t>
            </w:r>
            <w:r w:rsidR="00DF5072" w:rsidRPr="00DC049B">
              <w:rPr>
                <w:rFonts w:ascii="Tahoma" w:hAnsi="Tahoma" w:cs="Tahoma"/>
                <w:iCs/>
                <w:color w:val="333333"/>
                <w:sz w:val="14"/>
                <w:szCs w:val="14"/>
                <w:lang w:eastAsia="it-IT"/>
              </w:rPr>
              <w:t>2</w:t>
            </w:r>
            <w:r w:rsidR="00825DD9" w:rsidRPr="00DC049B">
              <w:rPr>
                <w:rFonts w:ascii="Tahoma" w:hAnsi="Tahoma" w:cs="Tahoma"/>
                <w:iCs/>
                <w:color w:val="333333"/>
                <w:sz w:val="14"/>
                <w:szCs w:val="14"/>
                <w:lang w:eastAsia="it-IT"/>
              </w:rPr>
              <w:t>4</w:t>
            </w:r>
            <w:r w:rsidR="00904C62" w:rsidRPr="00DC049B">
              <w:rPr>
                <w:rFonts w:ascii="Tahoma" w:hAnsi="Tahoma" w:cs="Tahoma"/>
                <w:iCs/>
                <w:color w:val="333333"/>
                <w:sz w:val="14"/>
                <w:szCs w:val="14"/>
                <w:lang w:eastAsia="it-IT"/>
              </w:rPr>
              <w:t>, AIDIC Servizi S.r.l.</w:t>
            </w:r>
            <w:r w:rsidR="00300E56" w:rsidRPr="00DC049B">
              <w:rPr>
                <w:rFonts w:ascii="Tahoma" w:hAnsi="Tahoma" w:cs="Tahoma"/>
                <w:iCs/>
                <w:color w:val="333333"/>
                <w:sz w:val="14"/>
                <w:szCs w:val="14"/>
                <w:lang w:eastAsia="it-IT"/>
              </w:rPr>
              <w:br/>
            </w:r>
            <w:r w:rsidR="00300E56" w:rsidRPr="00DC049B">
              <w:rPr>
                <w:rFonts w:ascii="Tahoma" w:hAnsi="Tahoma" w:cs="Tahoma"/>
                <w:b/>
                <w:iCs/>
                <w:color w:val="000000"/>
                <w:sz w:val="14"/>
                <w:szCs w:val="14"/>
                <w:lang w:eastAsia="it-IT"/>
              </w:rPr>
              <w:t>ISBN</w:t>
            </w:r>
            <w:r w:rsidR="00300E56" w:rsidRPr="00DC049B">
              <w:rPr>
                <w:rFonts w:ascii="Tahoma" w:hAnsi="Tahoma" w:cs="Tahoma"/>
                <w:iCs/>
                <w:color w:val="000000"/>
                <w:sz w:val="14"/>
                <w:szCs w:val="14"/>
                <w:lang w:eastAsia="it-IT"/>
              </w:rPr>
              <w:t xml:space="preserve"> </w:t>
            </w:r>
            <w:r w:rsidR="00825DD9" w:rsidRPr="00DC049B">
              <w:rPr>
                <w:rFonts w:ascii="Tahoma" w:hAnsi="Tahoma" w:cs="Tahoma"/>
                <w:sz w:val="14"/>
                <w:szCs w:val="14"/>
                <w:lang w:eastAsia="it-IT"/>
              </w:rPr>
              <w:t>979-12-81206-11-3</w:t>
            </w:r>
            <w:r w:rsidR="007B48F9" w:rsidRPr="00DC049B">
              <w:rPr>
                <w:rFonts w:ascii="Tahoma" w:hAnsi="Tahoma" w:cs="Tahoma"/>
                <w:iCs/>
                <w:color w:val="333333"/>
                <w:sz w:val="14"/>
                <w:szCs w:val="14"/>
                <w:lang w:eastAsia="it-IT"/>
              </w:rPr>
              <w:t>;</w:t>
            </w:r>
            <w:r w:rsidR="00300E56" w:rsidRPr="00DC049B">
              <w:rPr>
                <w:rFonts w:ascii="Tahoma" w:hAnsi="Tahoma" w:cs="Tahoma"/>
                <w:iCs/>
                <w:color w:val="333333"/>
                <w:sz w:val="14"/>
                <w:szCs w:val="14"/>
                <w:lang w:eastAsia="it-IT"/>
              </w:rPr>
              <w:t xml:space="preserve"> </w:t>
            </w:r>
            <w:r w:rsidR="00300E56" w:rsidRPr="00DC049B">
              <w:rPr>
                <w:rFonts w:ascii="Tahoma" w:hAnsi="Tahoma" w:cs="Tahoma"/>
                <w:b/>
                <w:iCs/>
                <w:color w:val="333333"/>
                <w:sz w:val="14"/>
                <w:szCs w:val="14"/>
                <w:lang w:eastAsia="it-IT"/>
              </w:rPr>
              <w:t>ISSN</w:t>
            </w:r>
            <w:r w:rsidR="00300E56" w:rsidRPr="00DC049B">
              <w:rPr>
                <w:rFonts w:ascii="Tahoma" w:hAnsi="Tahoma" w:cs="Tahoma"/>
                <w:iCs/>
                <w:color w:val="333333"/>
                <w:sz w:val="14"/>
                <w:szCs w:val="14"/>
                <w:lang w:eastAsia="it-IT"/>
              </w:rPr>
              <w:t xml:space="preserve"> 2283-9216</w:t>
            </w:r>
          </w:p>
        </w:tc>
      </w:tr>
    </w:tbl>
    <w:p w14:paraId="10DAA130" w14:textId="77777777" w:rsidR="000A03B2" w:rsidRPr="00DC049B" w:rsidRDefault="000A03B2" w:rsidP="000A03B2">
      <w:pPr>
        <w:pStyle w:val="CETAuthors"/>
        <w:rPr>
          <w:noProof w:val="0"/>
        </w:rPr>
        <w:sectPr w:rsidR="000A03B2" w:rsidRPr="00DC049B" w:rsidSect="0029308D">
          <w:type w:val="continuous"/>
          <w:pgSz w:w="11906" w:h="16838" w:code="9"/>
          <w:pgMar w:top="1701" w:right="1418" w:bottom="1701" w:left="1701" w:header="1701" w:footer="0" w:gutter="0"/>
          <w:cols w:space="708"/>
          <w:titlePg/>
          <w:docGrid w:linePitch="360"/>
        </w:sectPr>
      </w:pPr>
    </w:p>
    <w:p w14:paraId="2E667253" w14:textId="27911AFF" w:rsidR="00E978D0" w:rsidRPr="003D0F13" w:rsidRDefault="009A61DB" w:rsidP="00665323">
      <w:pPr>
        <w:pStyle w:val="CETTitle"/>
        <w:rPr>
          <w:lang w:val="it-IT"/>
        </w:rPr>
      </w:pPr>
      <w:r w:rsidRPr="00DC049B">
        <w:t xml:space="preserve">How </w:t>
      </w:r>
      <w:r w:rsidR="00C73D33" w:rsidRPr="00DC049B">
        <w:t xml:space="preserve">Will The Approach To Industrial Risk Management </w:t>
      </w:r>
      <w:r w:rsidR="00B225A7" w:rsidRPr="00DC049B">
        <w:t>In the Petroleum Sector</w:t>
      </w:r>
      <w:r w:rsidR="00C73D33" w:rsidRPr="00DC049B">
        <w:t xml:space="preserve"> Change In The Face Of Increasing Complexity And Emerging Risks? </w:t>
      </w:r>
      <w:r w:rsidRPr="003D0F13">
        <w:rPr>
          <w:lang w:val="it-IT"/>
        </w:rPr>
        <w:t xml:space="preserve">The Iplom </w:t>
      </w:r>
      <w:r w:rsidR="00C73D33" w:rsidRPr="003D0F13">
        <w:rPr>
          <w:lang w:val="it-IT"/>
        </w:rPr>
        <w:t>E</w:t>
      </w:r>
      <w:r w:rsidRPr="003D0F13">
        <w:rPr>
          <w:lang w:val="it-IT"/>
        </w:rPr>
        <w:t>xperience</w:t>
      </w:r>
    </w:p>
    <w:p w14:paraId="0488FED2" w14:textId="35584B30" w:rsidR="00B57E6F" w:rsidRPr="003D0F13" w:rsidRDefault="009A61DB" w:rsidP="00B57E6F">
      <w:pPr>
        <w:pStyle w:val="CETAuthors"/>
        <w:rPr>
          <w:noProof w:val="0"/>
          <w:lang w:val="it-IT"/>
        </w:rPr>
      </w:pPr>
      <w:r w:rsidRPr="003D0F13">
        <w:rPr>
          <w:noProof w:val="0"/>
          <w:lang w:val="it-IT"/>
        </w:rPr>
        <w:t>Luca Fiorentini</w:t>
      </w:r>
      <w:r w:rsidR="00B57E6F" w:rsidRPr="003D0F13">
        <w:rPr>
          <w:noProof w:val="0"/>
          <w:vertAlign w:val="superscript"/>
          <w:lang w:val="it-IT"/>
        </w:rPr>
        <w:t>a</w:t>
      </w:r>
      <w:r w:rsidRPr="003D0F13">
        <w:rPr>
          <w:noProof w:val="0"/>
          <w:vertAlign w:val="superscript"/>
          <w:lang w:val="it-IT"/>
        </w:rPr>
        <w:t>,</w:t>
      </w:r>
      <w:r w:rsidRPr="003D0F13">
        <w:rPr>
          <w:noProof w:val="0"/>
          <w:lang w:val="it-IT"/>
        </w:rPr>
        <w:t>*</w:t>
      </w:r>
      <w:r w:rsidR="00B57E6F" w:rsidRPr="003D0F13">
        <w:rPr>
          <w:noProof w:val="0"/>
          <w:lang w:val="it-IT"/>
        </w:rPr>
        <w:t xml:space="preserve">, </w:t>
      </w:r>
      <w:r w:rsidRPr="003D0F13">
        <w:rPr>
          <w:noProof w:val="0"/>
          <w:lang w:val="it-IT"/>
        </w:rPr>
        <w:t>Gianfranco Peiretti</w:t>
      </w:r>
      <w:r w:rsidR="00B57E6F" w:rsidRPr="003D0F13">
        <w:rPr>
          <w:noProof w:val="0"/>
          <w:vertAlign w:val="superscript"/>
          <w:lang w:val="it-IT"/>
        </w:rPr>
        <w:t>b</w:t>
      </w:r>
    </w:p>
    <w:p w14:paraId="6B2D21B3" w14:textId="6753C105" w:rsidR="00B57E6F" w:rsidRPr="003D0F13" w:rsidRDefault="00B57E6F" w:rsidP="00B57E6F">
      <w:pPr>
        <w:pStyle w:val="CETAddress"/>
        <w:rPr>
          <w:noProof w:val="0"/>
          <w:lang w:val="it-IT"/>
        </w:rPr>
      </w:pPr>
      <w:r w:rsidRPr="003D0F13">
        <w:rPr>
          <w:noProof w:val="0"/>
          <w:vertAlign w:val="superscript"/>
          <w:lang w:val="it-IT"/>
        </w:rPr>
        <w:t>a</w:t>
      </w:r>
      <w:r w:rsidR="009A61DB" w:rsidRPr="003D0F13">
        <w:rPr>
          <w:noProof w:val="0"/>
          <w:lang w:val="it-IT"/>
        </w:rPr>
        <w:t>Tecsa S.r.l., via Figino 101, 20016 Pero (MI), Italy</w:t>
      </w:r>
    </w:p>
    <w:p w14:paraId="3D72B0B0" w14:textId="6C2FAE37" w:rsidR="00B57E6F" w:rsidRPr="003D0F13" w:rsidRDefault="00B57E6F" w:rsidP="00B57E6F">
      <w:pPr>
        <w:pStyle w:val="CETAddress"/>
        <w:rPr>
          <w:noProof w:val="0"/>
          <w:lang w:val="it-IT"/>
        </w:rPr>
      </w:pPr>
      <w:r w:rsidRPr="003D0F13">
        <w:rPr>
          <w:noProof w:val="0"/>
          <w:vertAlign w:val="superscript"/>
          <w:lang w:val="it-IT"/>
        </w:rPr>
        <w:t>b</w:t>
      </w:r>
      <w:r w:rsidR="009A61DB" w:rsidRPr="003D0F13">
        <w:rPr>
          <w:noProof w:val="0"/>
          <w:lang w:val="it-IT"/>
        </w:rPr>
        <w:t>Iplom S.p.A., via Navone 3b, 16012 Busalla (GE), Italy</w:t>
      </w:r>
      <w:r w:rsidRPr="003D0F13">
        <w:rPr>
          <w:noProof w:val="0"/>
          <w:lang w:val="it-IT"/>
        </w:rPr>
        <w:t xml:space="preserve"> </w:t>
      </w:r>
    </w:p>
    <w:p w14:paraId="73F1267A" w14:textId="16ADF8FB" w:rsidR="00B57E6F" w:rsidRPr="00DC049B" w:rsidRDefault="00B57E6F" w:rsidP="00B57E6F">
      <w:pPr>
        <w:pStyle w:val="CETemail"/>
        <w:rPr>
          <w:noProof w:val="0"/>
        </w:rPr>
      </w:pPr>
      <w:r w:rsidRPr="003D0F13">
        <w:rPr>
          <w:noProof w:val="0"/>
          <w:lang w:val="it-IT"/>
        </w:rPr>
        <w:t xml:space="preserve"> </w:t>
      </w:r>
      <w:r w:rsidR="009A61DB" w:rsidRPr="00DC049B">
        <w:rPr>
          <w:noProof w:val="0"/>
        </w:rPr>
        <w:t>luca.fiorentini</w:t>
      </w:r>
      <w:r w:rsidRPr="00DC049B">
        <w:rPr>
          <w:noProof w:val="0"/>
        </w:rPr>
        <w:t>@</w:t>
      </w:r>
      <w:r w:rsidR="009A61DB" w:rsidRPr="00DC049B">
        <w:rPr>
          <w:noProof w:val="0"/>
        </w:rPr>
        <w:t>tecsasrl</w:t>
      </w:r>
      <w:r w:rsidRPr="00DC049B">
        <w:rPr>
          <w:noProof w:val="0"/>
        </w:rPr>
        <w:t>.</w:t>
      </w:r>
      <w:r w:rsidR="009A61DB" w:rsidRPr="00DC049B">
        <w:rPr>
          <w:noProof w:val="0"/>
        </w:rPr>
        <w:t>it</w:t>
      </w:r>
    </w:p>
    <w:p w14:paraId="49450816" w14:textId="77777777" w:rsidR="00732F03" w:rsidRDefault="00732F03" w:rsidP="009A61DB">
      <w:pPr>
        <w:pStyle w:val="CETBodytext"/>
        <w:rPr>
          <w:lang w:val="en-GB"/>
        </w:rPr>
      </w:pPr>
      <w:r>
        <w:rPr>
          <w:lang w:val="en-GB"/>
        </w:rPr>
        <w:t>Iplom is an Italian company operating in the energy and oil sector. As a Seveso company, Iplom has worked with specialist service companies like TECSA to improve the Safety Report over time. They have gone beyond just meeting formal requirements and have turned the report into a tool for assessment and decision-making.</w:t>
      </w:r>
    </w:p>
    <w:p w14:paraId="6C673C43" w14:textId="45903B70" w:rsidR="009A61DB" w:rsidRPr="00DC049B" w:rsidRDefault="00064985" w:rsidP="009A61DB">
      <w:pPr>
        <w:pStyle w:val="CETBodytext"/>
        <w:rPr>
          <w:lang w:val="en-GB"/>
        </w:rPr>
      </w:pPr>
      <w:r>
        <w:rPr>
          <w:lang w:val="en-GB"/>
        </w:rPr>
        <w:t xml:space="preserve">This paper aims to demonstrate that the forthcoming edition of the Safety Report will feature a concise and completely electronic “executive summary” in alignment with the “Safety Case” approach. </w:t>
      </w:r>
      <w:r w:rsidR="009A61DB" w:rsidRPr="00DC049B">
        <w:rPr>
          <w:lang w:val="en-GB"/>
        </w:rPr>
        <w:t xml:space="preserve">The "executive summary" aims to become the central point of access to critical information concerning the industrial risk profile of </w:t>
      </w:r>
      <w:r w:rsidR="00C016BE" w:rsidRPr="00DC049B">
        <w:rPr>
          <w:lang w:val="en-GB"/>
        </w:rPr>
        <w:t>Iplom’s</w:t>
      </w:r>
      <w:r w:rsidR="009A61DB" w:rsidRPr="00DC049B">
        <w:rPr>
          <w:lang w:val="en-GB"/>
        </w:rPr>
        <w:t xml:space="preserve"> </w:t>
      </w:r>
      <w:r w:rsidR="00BE241E" w:rsidRPr="00DC049B">
        <w:rPr>
          <w:lang w:val="en-GB"/>
        </w:rPr>
        <w:t>p</w:t>
      </w:r>
      <w:r w:rsidR="009A61DB" w:rsidRPr="00DC049B">
        <w:rPr>
          <w:lang w:val="en-GB"/>
        </w:rPr>
        <w:t>lant</w:t>
      </w:r>
      <w:r w:rsidR="00C016BE" w:rsidRPr="00DC049B">
        <w:rPr>
          <w:lang w:val="en-GB"/>
        </w:rPr>
        <w:t>s</w:t>
      </w:r>
      <w:r w:rsidR="00F3718C" w:rsidRPr="00DC049B">
        <w:rPr>
          <w:lang w:val="en-GB"/>
        </w:rPr>
        <w:t xml:space="preserve">. </w:t>
      </w:r>
      <w:r w:rsidR="00B225A7" w:rsidRPr="00DC049B">
        <w:rPr>
          <w:lang w:val="en-GB"/>
        </w:rPr>
        <w:t>This</w:t>
      </w:r>
      <w:r w:rsidR="009A61DB" w:rsidRPr="00DC049B">
        <w:rPr>
          <w:lang w:val="en-GB"/>
        </w:rPr>
        <w:t xml:space="preserve"> new approach allows, with obvious advantages, greater readability and comprehension by all those involved (including the competent authority)</w:t>
      </w:r>
      <w:r w:rsidR="00B225A7" w:rsidRPr="00DC049B">
        <w:rPr>
          <w:lang w:val="en-GB"/>
        </w:rPr>
        <w:t>.</w:t>
      </w:r>
      <w:r w:rsidR="009A61DB" w:rsidRPr="00DC049B">
        <w:rPr>
          <w:lang w:val="en-GB"/>
        </w:rPr>
        <w:t xml:space="preserve"> </w:t>
      </w:r>
      <w:r w:rsidR="00B225A7" w:rsidRPr="00DC049B">
        <w:rPr>
          <w:lang w:val="en-GB"/>
        </w:rPr>
        <w:t>The</w:t>
      </w:r>
      <w:r w:rsidR="009A61DB" w:rsidRPr="00DC049B">
        <w:rPr>
          <w:lang w:val="en-GB"/>
        </w:rPr>
        <w:t xml:space="preserve"> complexity typical of the industrial sector, also related to emerging risks, can be managed in an informed manner and with a robust approach</w:t>
      </w:r>
      <w:r w:rsidR="00880BF1">
        <w:rPr>
          <w:lang w:val="en-GB"/>
        </w:rPr>
        <w:t xml:space="preserve"> </w:t>
      </w:r>
      <w:r w:rsidR="009A61DB" w:rsidRPr="00DC049B">
        <w:rPr>
          <w:lang w:val="en-GB"/>
        </w:rPr>
        <w:t xml:space="preserve">closer to field safety, where operators are. Through this approach, the </w:t>
      </w:r>
      <w:r w:rsidR="00C016BE" w:rsidRPr="00DC049B">
        <w:rPr>
          <w:lang w:val="en-GB"/>
        </w:rPr>
        <w:t>“</w:t>
      </w:r>
      <w:r w:rsidR="009A61DB" w:rsidRPr="00DC049B">
        <w:rPr>
          <w:lang w:val="en-GB"/>
        </w:rPr>
        <w:t>executive summary</w:t>
      </w:r>
      <w:r w:rsidR="00C016BE" w:rsidRPr="00DC049B">
        <w:rPr>
          <w:lang w:val="en-GB"/>
        </w:rPr>
        <w:t>”</w:t>
      </w:r>
      <w:r w:rsidR="009A61DB" w:rsidRPr="00DC049B">
        <w:rPr>
          <w:lang w:val="en-GB"/>
        </w:rPr>
        <w:t xml:space="preserve"> becomes an updated representation of the risk profile based on the key elements (technical and </w:t>
      </w:r>
      <w:r w:rsidR="00B723A1">
        <w:rPr>
          <w:lang w:val="en-GB"/>
        </w:rPr>
        <w:t>organisational managerial</w:t>
      </w:r>
      <w:r w:rsidR="009A61DB" w:rsidRPr="00DC049B">
        <w:rPr>
          <w:lang w:val="en-GB"/>
        </w:rPr>
        <w:t>) that contribute</w:t>
      </w:r>
      <w:r w:rsidR="00B723A1">
        <w:rPr>
          <w:lang w:val="en-GB"/>
        </w:rPr>
        <w:t xml:space="preserve"> to a holistic strategy</w:t>
      </w:r>
      <w:r w:rsidR="009A61DB" w:rsidRPr="00DC049B">
        <w:rPr>
          <w:lang w:val="en-GB"/>
        </w:rPr>
        <w:t xml:space="preserve"> to guarantee safety for both known and emerging risks. </w:t>
      </w:r>
      <w:r w:rsidR="00B723A1">
        <w:rPr>
          <w:lang w:val="en-GB"/>
        </w:rPr>
        <w:t>Consequently</w:t>
      </w:r>
      <w:r w:rsidR="00B225A7" w:rsidRPr="00DC049B">
        <w:rPr>
          <w:lang w:val="en-GB"/>
        </w:rPr>
        <w:t>, it is possible to have a</w:t>
      </w:r>
      <w:r w:rsidR="009A61DB" w:rsidRPr="00DC049B">
        <w:rPr>
          <w:lang w:val="en-GB"/>
        </w:rPr>
        <w:t xml:space="preserve"> synthetic representation of the plant's risk profile</w:t>
      </w:r>
      <w:r w:rsidR="00B225A7" w:rsidRPr="00DC049B">
        <w:rPr>
          <w:lang w:val="en-GB"/>
        </w:rPr>
        <w:t xml:space="preserve"> using </w:t>
      </w:r>
      <w:r w:rsidR="009A61DB" w:rsidRPr="00DC049B">
        <w:rPr>
          <w:lang w:val="en-GB"/>
        </w:rPr>
        <w:t xml:space="preserve">data from the field through the numerous sensors installed </w:t>
      </w:r>
      <w:r w:rsidR="00C016BE" w:rsidRPr="00DC049B">
        <w:rPr>
          <w:lang w:val="en-GB"/>
        </w:rPr>
        <w:t>in</w:t>
      </w:r>
      <w:r w:rsidR="009A61DB" w:rsidRPr="00DC049B">
        <w:rPr>
          <w:lang w:val="en-GB"/>
        </w:rPr>
        <w:t xml:space="preserve"> the plants </w:t>
      </w:r>
      <w:r w:rsidR="00B225A7" w:rsidRPr="00DC049B">
        <w:rPr>
          <w:lang w:val="en-GB"/>
        </w:rPr>
        <w:t>monitoring</w:t>
      </w:r>
      <w:r w:rsidR="009A61DB" w:rsidRPr="00DC049B">
        <w:rPr>
          <w:lang w:val="en-GB"/>
        </w:rPr>
        <w:t xml:space="preserve"> the critical parameters of the industrial processes</w:t>
      </w:r>
      <w:r w:rsidR="006C0264" w:rsidRPr="00DC049B">
        <w:rPr>
          <w:lang w:val="en-GB"/>
        </w:rPr>
        <w:t>.</w:t>
      </w:r>
    </w:p>
    <w:p w14:paraId="01637081" w14:textId="77777777" w:rsidR="007F397B" w:rsidRPr="00DC049B" w:rsidRDefault="007F397B">
      <w:pPr>
        <w:tabs>
          <w:tab w:val="clear" w:pos="7100"/>
        </w:tabs>
        <w:spacing w:after="200" w:line="276" w:lineRule="auto"/>
        <w:jc w:val="left"/>
      </w:pPr>
    </w:p>
    <w:p w14:paraId="46766160" w14:textId="1FDA8B6F" w:rsidR="007F397B" w:rsidRPr="00DC049B" w:rsidRDefault="000E5124" w:rsidP="007F397B">
      <w:pPr>
        <w:pStyle w:val="CETHeading1"/>
        <w:rPr>
          <w:lang w:val="en-GB"/>
        </w:rPr>
      </w:pPr>
      <w:r w:rsidRPr="00DC049B">
        <w:rPr>
          <w:lang w:val="en-GB"/>
        </w:rPr>
        <w:t>Introduction</w:t>
      </w:r>
    </w:p>
    <w:p w14:paraId="2A38D0E1" w14:textId="59CFAFDC" w:rsidR="00654097" w:rsidRDefault="00654097" w:rsidP="000E5124">
      <w:pPr>
        <w:pStyle w:val="CETBodytext"/>
        <w:rPr>
          <w:lang w:val="en-GB"/>
        </w:rPr>
      </w:pPr>
      <w:r>
        <w:rPr>
          <w:lang w:val="en-GB"/>
        </w:rPr>
        <w:t xml:space="preserve">The onshore oil and gas Seveso plants in Italy </w:t>
      </w:r>
      <w:r w:rsidR="003D0F13">
        <w:rPr>
          <w:lang w:val="en-GB"/>
        </w:rPr>
        <w:t xml:space="preserve">face new risks due to the energy transition process, intensifying the </w:t>
      </w:r>
      <w:r>
        <w:rPr>
          <w:lang w:val="en-GB"/>
        </w:rPr>
        <w:t xml:space="preserve">complex management challenges. Despite this growing challenge, the associated risks are still not effectively managed, structured, or robust, unlike the "Safety Case" approach. Safety reports are prepared periodically (every </w:t>
      </w:r>
      <w:r w:rsidR="003D0F13">
        <w:rPr>
          <w:lang w:val="en-GB"/>
        </w:rPr>
        <w:t>five</w:t>
      </w:r>
      <w:r>
        <w:rPr>
          <w:lang w:val="en-GB"/>
        </w:rPr>
        <w:t xml:space="preserve"> years) for the relevant authorities, following a formal index provided by the regulator. However, they do not </w:t>
      </w:r>
      <w:r w:rsidR="00732F03">
        <w:rPr>
          <w:lang w:val="en-GB"/>
        </w:rPr>
        <w:t>demonstrate to</w:t>
      </w:r>
      <w:r>
        <w:rPr>
          <w:lang w:val="en-GB"/>
        </w:rPr>
        <w:t xml:space="preserve"> the plant owner that risks are "As Low As Reasonably Possible" (ALARP)</w:t>
      </w:r>
      <w:r w:rsidR="003D0F13">
        <w:rPr>
          <w:lang w:val="en-GB"/>
        </w:rPr>
        <w:t xml:space="preserve"> and </w:t>
      </w:r>
      <w:r>
        <w:rPr>
          <w:lang w:val="en-GB"/>
        </w:rPr>
        <w:t xml:space="preserve">are not comprehensive. Even though </w:t>
      </w:r>
      <w:r w:rsidR="00732F03">
        <w:rPr>
          <w:lang w:val="en-GB"/>
        </w:rPr>
        <w:t>a specific legislative decree (D.Lgs. 105/2015) defines</w:t>
      </w:r>
      <w:r>
        <w:rPr>
          <w:lang w:val="en-GB"/>
        </w:rPr>
        <w:t xml:space="preserve"> the requirements for safety reports for onshore plants, limitations can still be observed after years of implementation.</w:t>
      </w:r>
    </w:p>
    <w:p w14:paraId="34701F17" w14:textId="543E9721" w:rsidR="000E5124" w:rsidRPr="00DC049B" w:rsidRDefault="00654097" w:rsidP="000E5124">
      <w:pPr>
        <w:pStyle w:val="CETBodytext"/>
        <w:rPr>
          <w:lang w:val="en-GB"/>
        </w:rPr>
      </w:pPr>
      <w:r>
        <w:rPr>
          <w:lang w:val="en-GB"/>
        </w:rPr>
        <w:t xml:space="preserve">Currently, there is no defined risk acceptability criterion by regulation, and plant owners are not allowed to assess the acceptability of risks or their compliance with ALARP (As Low As Reasonably Practicable) conditions. The only guidance provided is that major accident events with a probability of occurrence lower than 10^-6 occasions per year should not be discussed </w:t>
      </w:r>
      <w:r w:rsidR="00732F03">
        <w:rPr>
          <w:lang w:val="en-GB"/>
        </w:rPr>
        <w:t>regarding</w:t>
      </w:r>
      <w:r>
        <w:rPr>
          <w:lang w:val="en-GB"/>
        </w:rPr>
        <w:t xml:space="preserve"> consequences. Regulators have not yet </w:t>
      </w:r>
      <w:r w:rsidR="00732F03">
        <w:rPr>
          <w:lang w:val="en-GB"/>
        </w:rPr>
        <w:t>recognised</w:t>
      </w:r>
      <w:r>
        <w:rPr>
          <w:lang w:val="en-GB"/>
        </w:rPr>
        <w:t xml:space="preserve"> the ALARP approach, leading to conflicts in implementing internationally </w:t>
      </w:r>
      <w:r w:rsidR="00732F03">
        <w:rPr>
          <w:lang w:val="en-GB"/>
        </w:rPr>
        <w:t>recognised</w:t>
      </w:r>
      <w:r>
        <w:rPr>
          <w:lang w:val="en-GB"/>
        </w:rPr>
        <w:t xml:space="preserve"> standards, such as functional safety (e.g. IEC 61508 and IEC 61511) or risk-based inspections proposed by the American Petroleum Institute in 2026. The responsibility for determining acceptability lies with the governing authority. The operator only outlines the plant's conditions, backed by a quantitative risk assessment, without making a formal statement. Even when the regulator provides the safety report structure, it often feels like a list of tasks to complete rather </w:t>
      </w:r>
      <w:r>
        <w:rPr>
          <w:lang w:val="en-GB"/>
        </w:rPr>
        <w:lastRenderedPageBreak/>
        <w:t>than a coordinated set of elements leading to a safety assurance statement. Discussing all the elements involves a significant effort and often leads to duplicating information from various other official documents.</w:t>
      </w:r>
    </w:p>
    <w:p w14:paraId="4C658A19" w14:textId="6B863E73" w:rsidR="000E5124" w:rsidRPr="00DC049B" w:rsidRDefault="00064985" w:rsidP="003F3512">
      <w:pPr>
        <w:pStyle w:val="CETBodytext"/>
        <w:rPr>
          <w:lang w:val="en-GB"/>
        </w:rPr>
      </w:pPr>
      <w:r>
        <w:rPr>
          <w:lang w:val="en-GB"/>
        </w:rPr>
        <w:t>The authorities have recognised these limitations (Marrazzo, 2021 and Vazzana, 2019), and working groups have been dedicated to implementing new requirements for Safety Case production. This paper will present the proposed Safety Case methodology</w:t>
      </w:r>
      <w:r w:rsidR="003F3512" w:rsidRPr="00DC049B">
        <w:rPr>
          <w:lang w:val="en-GB"/>
        </w:rPr>
        <w:t xml:space="preserve">. </w:t>
      </w:r>
      <w:r w:rsidR="00BA2FE1" w:rsidRPr="00DC049B">
        <w:rPr>
          <w:lang w:val="en-GB"/>
        </w:rPr>
        <w:t>Authorities</w:t>
      </w:r>
      <w:r w:rsidR="000E5124" w:rsidRPr="00DC049B">
        <w:rPr>
          <w:lang w:val="en-GB"/>
        </w:rPr>
        <w:t xml:space="preserve"> started with a specific guideline for the offshore sector, where </w:t>
      </w:r>
      <w:r w:rsidR="00BA2FE1" w:rsidRPr="00DC049B">
        <w:rPr>
          <w:lang w:val="en-GB"/>
        </w:rPr>
        <w:t xml:space="preserve">a more consistent approach with the international guidelines </w:t>
      </w:r>
      <w:r w:rsidR="000E5124" w:rsidRPr="00DC049B">
        <w:rPr>
          <w:lang w:val="en-GB"/>
        </w:rPr>
        <w:t>has been defined</w:t>
      </w:r>
      <w:r w:rsidR="00BA2FE1" w:rsidRPr="00DC049B">
        <w:rPr>
          <w:lang w:val="en-GB"/>
        </w:rPr>
        <w:t>.</w:t>
      </w:r>
      <w:r w:rsidR="003F3512" w:rsidRPr="00DC049B">
        <w:rPr>
          <w:lang w:val="en-GB"/>
        </w:rPr>
        <w:t xml:space="preserve"> </w:t>
      </w:r>
    </w:p>
    <w:p w14:paraId="18009C25" w14:textId="173E7CFA" w:rsidR="007F397B" w:rsidRPr="00DC049B" w:rsidRDefault="0080529C" w:rsidP="000E5124">
      <w:pPr>
        <w:pStyle w:val="CETBodytext"/>
        <w:rPr>
          <w:lang w:val="en-GB"/>
        </w:rPr>
      </w:pPr>
      <w:r w:rsidRPr="00DC049B">
        <w:rPr>
          <w:lang w:val="en-GB"/>
        </w:rPr>
        <w:t>Embracing the challenges coming from this awareness, Iplom decided to elevate its risk management following the Safety Case approach and thus acting like a leading implementer in the Italian context.</w:t>
      </w:r>
      <w:r w:rsidR="003F3512" w:rsidRPr="00DC049B">
        <w:rPr>
          <w:lang w:val="en-GB"/>
        </w:rPr>
        <w:t xml:space="preserve"> Indeed,</w:t>
      </w:r>
      <w:r w:rsidRPr="00DC049B">
        <w:rPr>
          <w:lang w:val="en-GB"/>
        </w:rPr>
        <w:t xml:space="preserve"> </w:t>
      </w:r>
      <w:r w:rsidR="003F3512" w:rsidRPr="00DC049B">
        <w:rPr>
          <w:lang w:val="en-GB"/>
        </w:rPr>
        <w:t>i</w:t>
      </w:r>
      <w:r w:rsidR="000E5124" w:rsidRPr="00DC049B">
        <w:rPr>
          <w:lang w:val="en-GB"/>
        </w:rPr>
        <w:t>n the next years</w:t>
      </w:r>
      <w:r w:rsidR="00AB2398" w:rsidRPr="00DC049B">
        <w:rPr>
          <w:lang w:val="en-GB"/>
        </w:rPr>
        <w:t>,</w:t>
      </w:r>
      <w:r w:rsidR="000E5124" w:rsidRPr="00DC049B">
        <w:rPr>
          <w:lang w:val="en-GB"/>
        </w:rPr>
        <w:t xml:space="preserve"> </w:t>
      </w:r>
      <w:r w:rsidR="003F3512" w:rsidRPr="00DC049B">
        <w:rPr>
          <w:lang w:val="en-GB"/>
        </w:rPr>
        <w:t>this</w:t>
      </w:r>
      <w:r w:rsidR="000E5124" w:rsidRPr="00DC049B">
        <w:rPr>
          <w:lang w:val="en-GB"/>
        </w:rPr>
        <w:t xml:space="preserve"> approach will </w:t>
      </w:r>
      <w:r w:rsidR="00064985">
        <w:rPr>
          <w:lang w:val="en-GB"/>
        </w:rPr>
        <w:t>also be moved to onshore Seveso installations. It</w:t>
      </w:r>
      <w:r w:rsidR="000E5124" w:rsidRPr="00DC049B">
        <w:rPr>
          <w:lang w:val="en-GB"/>
        </w:rPr>
        <w:t xml:space="preserve"> would be advisable that Safety Case preparation could be extended to other </w:t>
      </w:r>
      <w:r w:rsidR="00AB2398" w:rsidRPr="00DC049B">
        <w:rPr>
          <w:lang w:val="en-GB"/>
        </w:rPr>
        <w:t>situations</w:t>
      </w:r>
      <w:r w:rsidR="000E5124" w:rsidRPr="00DC049B">
        <w:rPr>
          <w:lang w:val="en-GB"/>
        </w:rPr>
        <w:t xml:space="preserve"> that would benefit from a formal statement of safety assurance, even if not related </w:t>
      </w:r>
      <w:r w:rsidR="00AB2398" w:rsidRPr="00DC049B">
        <w:rPr>
          <w:lang w:val="en-GB"/>
        </w:rPr>
        <w:t>to</w:t>
      </w:r>
      <w:r w:rsidR="000E5124" w:rsidRPr="00DC049B">
        <w:rPr>
          <w:lang w:val="en-GB"/>
        </w:rPr>
        <w:t xml:space="preserve"> Seveso, such as buildings fire </w:t>
      </w:r>
      <w:r w:rsidR="003F3512" w:rsidRPr="00DC049B">
        <w:rPr>
          <w:lang w:val="en-GB"/>
        </w:rPr>
        <w:t>Safety Case</w:t>
      </w:r>
      <w:r w:rsidR="000E5124" w:rsidRPr="00DC049B">
        <w:rPr>
          <w:lang w:val="en-GB"/>
        </w:rPr>
        <w:t xml:space="preserve">s and new </w:t>
      </w:r>
      <w:r w:rsidR="00654097">
        <w:rPr>
          <w:lang w:val="en-GB"/>
        </w:rPr>
        <w:t>energy</w:t>
      </w:r>
      <w:r w:rsidR="000E5124" w:rsidRPr="00DC049B">
        <w:rPr>
          <w:lang w:val="en-GB"/>
        </w:rPr>
        <w:t xml:space="preserve"> production plants following the recent important will to fulfil a global energy transition.</w:t>
      </w:r>
      <w:r w:rsidR="00BA2FE1" w:rsidRPr="00DC049B">
        <w:rPr>
          <w:lang w:val="en-GB"/>
        </w:rPr>
        <w:t xml:space="preserve"> In the context of this paper, the Safety Case approach is concentrated inside the proposed “executive summary” for the next revision of the Iplom’s Safety Report.</w:t>
      </w:r>
      <w:r w:rsidR="003F3512" w:rsidRPr="00DC049B">
        <w:rPr>
          <w:lang w:val="en-GB"/>
        </w:rPr>
        <w:t xml:space="preserve"> The main features and the content of the proposed Safety Case approach will be discussed in the next paragraphs.</w:t>
      </w:r>
    </w:p>
    <w:p w14:paraId="55BF2A23" w14:textId="10DA999E" w:rsidR="007F397B" w:rsidRPr="00DC049B" w:rsidRDefault="007F397B" w:rsidP="007F397B">
      <w:pPr>
        <w:pStyle w:val="CETHeading1"/>
        <w:rPr>
          <w:lang w:val="en-GB"/>
        </w:rPr>
      </w:pPr>
      <w:r w:rsidRPr="00DC049B">
        <w:rPr>
          <w:lang w:val="en-GB"/>
        </w:rPr>
        <w:t xml:space="preserve">The </w:t>
      </w:r>
      <w:r w:rsidR="00BA2FE1" w:rsidRPr="00DC049B">
        <w:rPr>
          <w:lang w:val="en-GB"/>
        </w:rPr>
        <w:t>S</w:t>
      </w:r>
      <w:r w:rsidRPr="00DC049B">
        <w:rPr>
          <w:lang w:val="en-GB"/>
        </w:rPr>
        <w:t xml:space="preserve">afety </w:t>
      </w:r>
      <w:r w:rsidR="00BA2FE1" w:rsidRPr="00DC049B">
        <w:rPr>
          <w:lang w:val="en-GB"/>
        </w:rPr>
        <w:t>C</w:t>
      </w:r>
      <w:r w:rsidRPr="00DC049B">
        <w:rPr>
          <w:lang w:val="en-GB"/>
        </w:rPr>
        <w:t>ase approach</w:t>
      </w:r>
    </w:p>
    <w:p w14:paraId="5418399F" w14:textId="77777777" w:rsidR="007F397B" w:rsidRPr="00DC049B" w:rsidRDefault="007F397B" w:rsidP="007F397B">
      <w:pPr>
        <w:pStyle w:val="CETBodytext"/>
        <w:rPr>
          <w:lang w:val="en-GB"/>
        </w:rPr>
      </w:pPr>
    </w:p>
    <w:p w14:paraId="57CFCAA6" w14:textId="53A5EA3A" w:rsidR="000E5124" w:rsidRPr="00DC049B" w:rsidRDefault="000E5124" w:rsidP="000E5124">
      <w:pPr>
        <w:rPr>
          <w:rFonts w:asciiTheme="minorHAnsi" w:hAnsiTheme="minorHAnsi"/>
          <w:sz w:val="22"/>
        </w:rPr>
      </w:pPr>
      <w:r w:rsidRPr="00DC049B">
        <w:t xml:space="preserve">“Safety Case” is a term that, across multiple sectors as well described in Maguire, 2017, defines the outcome of a precise process aimed </w:t>
      </w:r>
      <w:r w:rsidR="00AB2398" w:rsidRPr="00DC049B">
        <w:t>at</w:t>
      </w:r>
      <w:r w:rsidRPr="00DC049B">
        <w:t xml:space="preserve"> the presentation, via a structured document, of safety considerations related </w:t>
      </w:r>
      <w:r w:rsidR="00AB2398" w:rsidRPr="00DC049B">
        <w:t>to</w:t>
      </w:r>
      <w:r w:rsidRPr="00DC049B">
        <w:t xml:space="preserve"> a specific socio-technical asset (a product, a site, a process or a system) including the demonstration that its major accidents events and their risks have been identified, can be considered </w:t>
      </w:r>
      <w:r w:rsidR="00AB2398" w:rsidRPr="00DC049B">
        <w:t>minimised</w:t>
      </w:r>
      <w:r w:rsidRPr="00DC049B">
        <w:t xml:space="preserve"> and ALARP (Melchers, 2001) and they will be communicated and managed accordingly, within a systematic approach (Kelly, </w:t>
      </w:r>
      <w:r w:rsidR="00BA2FE1" w:rsidRPr="00DC049B">
        <w:t>2004</w:t>
      </w:r>
      <w:r w:rsidRPr="00DC049B">
        <w:t>), coordinating the activities via the Safety Management System elements.</w:t>
      </w:r>
    </w:p>
    <w:p w14:paraId="664D056D" w14:textId="192B6C8B" w:rsidR="000E5124" w:rsidRPr="00DC049B" w:rsidRDefault="00BA2FE1" w:rsidP="00BA2FE1">
      <w:r w:rsidRPr="00DC049B">
        <w:t xml:space="preserve">The Safety Case approach can be condensed </w:t>
      </w:r>
      <w:r w:rsidR="00AB2398" w:rsidRPr="00DC049B">
        <w:t>into</w:t>
      </w:r>
      <w:r w:rsidRPr="00DC049B">
        <w:t xml:space="preserve"> t</w:t>
      </w:r>
      <w:r w:rsidR="000E5124" w:rsidRPr="00DC049B">
        <w:t>hree words:</w:t>
      </w:r>
      <w:r w:rsidRPr="00DC049B">
        <w:t xml:space="preserve"> </w:t>
      </w:r>
      <w:r w:rsidR="000E5124" w:rsidRPr="00DC049B">
        <w:t>demonstratio</w:t>
      </w:r>
      <w:r w:rsidRPr="00DC049B">
        <w:t xml:space="preserve">n, </w:t>
      </w:r>
      <w:r w:rsidR="000E5124" w:rsidRPr="00DC049B">
        <w:t>structured</w:t>
      </w:r>
      <w:r w:rsidRPr="00DC049B">
        <w:t xml:space="preserve">, </w:t>
      </w:r>
      <w:r w:rsidR="00AB2398" w:rsidRPr="00DC049B">
        <w:t xml:space="preserve">and </w:t>
      </w:r>
      <w:r w:rsidR="000E5124" w:rsidRPr="00DC049B">
        <w:t>synthetic.</w:t>
      </w:r>
    </w:p>
    <w:p w14:paraId="1CC5F415" w14:textId="77777777" w:rsidR="000E5124" w:rsidRPr="00DC049B" w:rsidRDefault="000E5124" w:rsidP="000E5124">
      <w:pPr>
        <w:pStyle w:val="CETListbullets"/>
      </w:pPr>
    </w:p>
    <w:p w14:paraId="42DD27FF" w14:textId="77777777" w:rsidR="000E5124" w:rsidRPr="00DC049B" w:rsidRDefault="000E5124" w:rsidP="000E5124">
      <w:pPr>
        <w:pStyle w:val="CETheadingx"/>
        <w:rPr>
          <w:rFonts w:asciiTheme="minorHAnsi" w:hAnsiTheme="minorHAnsi"/>
          <w:sz w:val="22"/>
          <w:lang w:val="en-GB"/>
        </w:rPr>
      </w:pPr>
      <w:r w:rsidRPr="00DC049B">
        <w:rPr>
          <w:lang w:val="en-GB"/>
        </w:rPr>
        <w:t>Demonstration</w:t>
      </w:r>
    </w:p>
    <w:p w14:paraId="39544032" w14:textId="73471E61" w:rsidR="000E5124" w:rsidRPr="00DC049B" w:rsidRDefault="00AB2398" w:rsidP="000E5124">
      <w:r w:rsidRPr="00DC049B">
        <w:t xml:space="preserve">The </w:t>
      </w:r>
      <w:r w:rsidR="003F3512" w:rsidRPr="00DC049B">
        <w:t>Safety Case</w:t>
      </w:r>
      <w:r w:rsidR="000E5124" w:rsidRPr="00DC049B">
        <w:t xml:space="preserve"> </w:t>
      </w:r>
      <w:r w:rsidR="00B723A1">
        <w:t>summarises</w:t>
      </w:r>
      <w:r w:rsidR="000E5124" w:rsidRPr="00DC049B">
        <w:t xml:space="preserve"> and declares the demonstration, supported by </w:t>
      </w:r>
      <w:r w:rsidRPr="00DC049B">
        <w:t>specifically</w:t>
      </w:r>
      <w:r w:rsidR="000E5124" w:rsidRPr="00DC049B">
        <w:t xml:space="preserve"> selected </w:t>
      </w:r>
      <w:r w:rsidRPr="00DC049B">
        <w:t>evidence</w:t>
      </w:r>
      <w:r w:rsidR="000E5124" w:rsidRPr="00DC049B">
        <w:t xml:space="preserve">, that the risk profile satisfies the ALARP condition for the identified and </w:t>
      </w:r>
      <w:r w:rsidR="00B723A1">
        <w:t>minimised</w:t>
      </w:r>
      <w:r w:rsidR="000E5124" w:rsidRPr="00DC049B">
        <w:t xml:space="preserve"> risks in a specific domain and given a specific context (to be described briefly in the </w:t>
      </w:r>
      <w:r w:rsidR="003F3512" w:rsidRPr="00DC049B">
        <w:t>Safety Case</w:t>
      </w:r>
      <w:r w:rsidR="000E5124" w:rsidRPr="00DC049B">
        <w:t xml:space="preserve"> itself), operating in defined modes. </w:t>
      </w:r>
      <w:r w:rsidRPr="00DC049B">
        <w:t>The demonstration</w:t>
      </w:r>
      <w:r w:rsidR="000E5124" w:rsidRPr="00DC049B">
        <w:t xml:space="preserve"> should reference any </w:t>
      </w:r>
      <w:r w:rsidRPr="00DC049B">
        <w:t>eventually</w:t>
      </w:r>
      <w:r w:rsidR="000E5124" w:rsidRPr="00DC049B">
        <w:t xml:space="preserve"> applicable requirements from regulations, standards and RAGEPs and discuss their application and actual compliance. Demonstration is often supported by specific notations such as the Goal Structuring Notation (</w:t>
      </w:r>
      <w:r w:rsidR="00005AD1" w:rsidRPr="00DC049B">
        <w:t>Spriggs, 2012</w:t>
      </w:r>
      <w:r w:rsidR="000E5124" w:rsidRPr="00DC049B">
        <w:t>).</w:t>
      </w:r>
    </w:p>
    <w:p w14:paraId="702FA0D8" w14:textId="77777777" w:rsidR="000E5124" w:rsidRPr="00DC049B" w:rsidRDefault="000E5124" w:rsidP="000E5124"/>
    <w:p w14:paraId="6E3A60C6" w14:textId="77777777" w:rsidR="000E5124" w:rsidRPr="00DC049B" w:rsidRDefault="000E5124" w:rsidP="000E5124">
      <w:pPr>
        <w:pStyle w:val="CETheadingx"/>
        <w:rPr>
          <w:lang w:val="en-GB"/>
        </w:rPr>
      </w:pPr>
      <w:r w:rsidRPr="00DC049B">
        <w:rPr>
          <w:lang w:val="en-GB"/>
        </w:rPr>
        <w:t>Structured</w:t>
      </w:r>
    </w:p>
    <w:p w14:paraId="509F71C2" w14:textId="3211BE05" w:rsidR="000E5124" w:rsidRPr="00DC049B" w:rsidRDefault="000E5124" w:rsidP="000E5124">
      <w:r w:rsidRPr="00DC049B">
        <w:t xml:space="preserve">Safety Cases should have a clear hierarchical structure that allows the reader to understand the workflow that has been adopted and to identify the input data and the results with particular emphasis </w:t>
      </w:r>
      <w:r w:rsidR="0080529C" w:rsidRPr="00DC049B">
        <w:t>on</w:t>
      </w:r>
      <w:r w:rsidRPr="00DC049B">
        <w:t xml:space="preserve"> the ALARP demonstration. In some cases, their structure follows specific requirements given the applicable regulation to the specific domain. The importance of the structure is also connected with the possibility of using the contents of the </w:t>
      </w:r>
      <w:r w:rsidR="003F3512" w:rsidRPr="00DC049B">
        <w:t>Safety Case</w:t>
      </w:r>
      <w:r w:rsidRPr="00DC049B">
        <w:t xml:space="preserve"> for the communication of results to internal and external stakeholders, for training activities of different classes of students (management people, field operators, external contractors, etc.) and for inclusion of people in the Safety Case formation process itself towards an “operationalisation” of the Safety Case, as suggested in (McDade, 2021). Structure assures consistency among </w:t>
      </w:r>
      <w:r w:rsidR="003F3512" w:rsidRPr="00DC049B">
        <w:t>Safety Case</w:t>
      </w:r>
      <w:r w:rsidRPr="00DC049B">
        <w:t xml:space="preserve">s (e.g. across the years or multiple different assets) and </w:t>
      </w:r>
      <w:r w:rsidR="00AB2398" w:rsidRPr="00DC049B">
        <w:t>supports</w:t>
      </w:r>
      <w:r w:rsidRPr="00DC049B">
        <w:t xml:space="preserve"> the formal statement of the operator (as a declaration). A well-defined structure enables the maintenance of the Safety Case during time (it should be updated regularly and </w:t>
      </w:r>
      <w:r w:rsidR="00005AD1" w:rsidRPr="00DC049B">
        <w:t>modified,</w:t>
      </w:r>
      <w:r w:rsidRPr="00DC049B">
        <w:t xml:space="preserve"> when necessary, as a living document).</w:t>
      </w:r>
    </w:p>
    <w:p w14:paraId="0FDBF3A0" w14:textId="5F909EAB" w:rsidR="000E5124" w:rsidRPr="00DC049B" w:rsidRDefault="000E5124" w:rsidP="000E5124">
      <w:pPr>
        <w:rPr>
          <w:i/>
          <w:iCs/>
        </w:rPr>
      </w:pPr>
    </w:p>
    <w:p w14:paraId="041DF3EE" w14:textId="77777777" w:rsidR="000E5124" w:rsidRPr="00DC049B" w:rsidRDefault="000E5124" w:rsidP="000E5124">
      <w:pPr>
        <w:pStyle w:val="CETheadingx"/>
        <w:rPr>
          <w:lang w:val="en-GB"/>
        </w:rPr>
      </w:pPr>
      <w:r w:rsidRPr="00DC049B">
        <w:rPr>
          <w:lang w:val="en-GB"/>
        </w:rPr>
        <w:t>Synthetic</w:t>
      </w:r>
    </w:p>
    <w:p w14:paraId="0C23AAC9" w14:textId="74C11509" w:rsidR="000E5124" w:rsidRPr="00DC049B" w:rsidRDefault="000E5124" w:rsidP="000E5124">
      <w:r w:rsidRPr="00DC049B">
        <w:t xml:space="preserve">Safety Cases should focus on a single domain or a specific pool of domains (e.g. if the </w:t>
      </w:r>
      <w:r w:rsidR="003F3512" w:rsidRPr="00DC049B">
        <w:t>Safety Case</w:t>
      </w:r>
      <w:r w:rsidR="00AB2398" w:rsidRPr="00DC049B">
        <w:t>'s</w:t>
      </w:r>
      <w:r w:rsidRPr="00DC049B">
        <w:t xml:space="preserve"> intended use is for major accident events safety assurance, it should not refer to occupational safety and health issues). For the specific selected domain, they must briefly, through the hierarchical structure, set out the demonstration </w:t>
      </w:r>
      <w:r w:rsidR="00AB2398" w:rsidRPr="00DC049B">
        <w:t>through</w:t>
      </w:r>
      <w:r w:rsidRPr="00DC049B">
        <w:t xml:space="preserve"> the appropriate </w:t>
      </w:r>
      <w:r w:rsidR="00AB2398" w:rsidRPr="00DC049B">
        <w:t>evidence</w:t>
      </w:r>
      <w:r w:rsidRPr="00DC049B">
        <w:t>, referring, if necessary, to external documents</w:t>
      </w:r>
      <w:r w:rsidR="00E06A26" w:rsidRPr="00DC049B">
        <w:t xml:space="preserve"> (Maguire, 2017)</w:t>
      </w:r>
      <w:r w:rsidRPr="00DC049B">
        <w:t xml:space="preserve">. It is not advisable to copy the entire body of </w:t>
      </w:r>
      <w:r w:rsidR="00AB2398" w:rsidRPr="00DC049B">
        <w:t>evidence</w:t>
      </w:r>
      <w:r w:rsidRPr="00DC049B">
        <w:t xml:space="preserve"> in the content of the Safety Case, while it is fundamental to have precise references to documents under control.</w:t>
      </w:r>
    </w:p>
    <w:p w14:paraId="1384FBE1" w14:textId="77777777" w:rsidR="000E5124" w:rsidRPr="00DC049B" w:rsidRDefault="000E5124" w:rsidP="000E5124">
      <w:pPr>
        <w:pStyle w:val="CETListbullets"/>
      </w:pPr>
    </w:p>
    <w:p w14:paraId="34A7B2C7" w14:textId="31ED26A7" w:rsidR="000E5124" w:rsidRPr="00DC049B" w:rsidRDefault="00005AD1" w:rsidP="000E5124">
      <w:pPr>
        <w:pStyle w:val="CETheadingx"/>
        <w:rPr>
          <w:lang w:val="en-GB"/>
        </w:rPr>
      </w:pPr>
      <w:r w:rsidRPr="00DC049B">
        <w:rPr>
          <w:lang w:val="en-GB"/>
        </w:rPr>
        <w:lastRenderedPageBreak/>
        <w:t xml:space="preserve">The </w:t>
      </w:r>
      <w:r w:rsidR="000E5124" w:rsidRPr="00DC049B">
        <w:rPr>
          <w:lang w:val="en-GB"/>
        </w:rPr>
        <w:t>C</w:t>
      </w:r>
      <w:r w:rsidRPr="00DC049B">
        <w:rPr>
          <w:lang w:val="en-GB"/>
        </w:rPr>
        <w:t xml:space="preserve">laim </w:t>
      </w:r>
      <w:r w:rsidR="000E5124" w:rsidRPr="00DC049B">
        <w:rPr>
          <w:lang w:val="en-GB"/>
        </w:rPr>
        <w:t>A</w:t>
      </w:r>
      <w:r w:rsidRPr="00DC049B">
        <w:rPr>
          <w:lang w:val="en-GB"/>
        </w:rPr>
        <w:t xml:space="preserve">rgument </w:t>
      </w:r>
      <w:r w:rsidR="000E5124" w:rsidRPr="00DC049B">
        <w:rPr>
          <w:lang w:val="en-GB"/>
        </w:rPr>
        <w:t>E</w:t>
      </w:r>
      <w:r w:rsidRPr="00DC049B">
        <w:rPr>
          <w:lang w:val="en-GB"/>
        </w:rPr>
        <w:t>vidence (CAE)</w:t>
      </w:r>
      <w:r w:rsidR="000E5124" w:rsidRPr="00DC049B">
        <w:rPr>
          <w:lang w:val="en-GB"/>
        </w:rPr>
        <w:t xml:space="preserve"> and </w:t>
      </w:r>
      <w:r w:rsidRPr="00DC049B">
        <w:rPr>
          <w:lang w:val="en-GB"/>
        </w:rPr>
        <w:t>the Goal Structuring Notation (GSN)</w:t>
      </w:r>
    </w:p>
    <w:p w14:paraId="0BD6E210" w14:textId="10443217" w:rsidR="000E5124" w:rsidRPr="00DC049B" w:rsidRDefault="00005AD1" w:rsidP="000E5124">
      <w:pPr>
        <w:pStyle w:val="CETBodytext"/>
        <w:rPr>
          <w:lang w:val="en-GB"/>
        </w:rPr>
      </w:pPr>
      <w:r w:rsidRPr="00DC049B">
        <w:rPr>
          <w:lang w:val="en-GB"/>
        </w:rPr>
        <w:t>The proposed</w:t>
      </w:r>
      <w:r w:rsidR="000E5124" w:rsidRPr="00DC049B">
        <w:rPr>
          <w:lang w:val="en-GB"/>
        </w:rPr>
        <w:t xml:space="preserve"> </w:t>
      </w:r>
      <w:r w:rsidR="003F3512" w:rsidRPr="00DC049B">
        <w:rPr>
          <w:lang w:val="en-GB"/>
        </w:rPr>
        <w:t>Safety Case</w:t>
      </w:r>
      <w:r w:rsidR="000E5124" w:rsidRPr="00DC049B">
        <w:rPr>
          <w:lang w:val="en-GB"/>
        </w:rPr>
        <w:t xml:space="preserve"> is essentially a structured argument, supported by a body of evidence, which provides a compelling, </w:t>
      </w:r>
      <w:r w:rsidR="00064985">
        <w:rPr>
          <w:lang w:val="en-GB"/>
        </w:rPr>
        <w:t>understandable</w:t>
      </w:r>
      <w:r w:rsidR="000E5124" w:rsidRPr="00DC049B">
        <w:rPr>
          <w:lang w:val="en-GB"/>
        </w:rPr>
        <w:t xml:space="preserve">, and valid case that </w:t>
      </w:r>
      <w:r w:rsidRPr="00DC049B">
        <w:rPr>
          <w:lang w:val="en-GB"/>
        </w:rPr>
        <w:t>the</w:t>
      </w:r>
      <w:r w:rsidR="000E5124" w:rsidRPr="00DC049B">
        <w:rPr>
          <w:lang w:val="en-GB"/>
        </w:rPr>
        <w:t xml:space="preserve"> system is safe for </w:t>
      </w:r>
      <w:r w:rsidRPr="00DC049B">
        <w:rPr>
          <w:lang w:val="en-GB"/>
        </w:rPr>
        <w:t>the</w:t>
      </w:r>
      <w:r w:rsidR="000E5124" w:rsidRPr="00DC049B">
        <w:rPr>
          <w:lang w:val="en-GB"/>
        </w:rPr>
        <w:t xml:space="preserve"> given application, eventually through specific processes, in a given environment considering the human factor. </w:t>
      </w:r>
      <w:r w:rsidRPr="00DC049B">
        <w:rPr>
          <w:lang w:val="en-GB"/>
        </w:rPr>
        <w:t>The</w:t>
      </w:r>
      <w:r w:rsidR="000E5124" w:rsidRPr="00DC049B">
        <w:rPr>
          <w:lang w:val="en-GB"/>
        </w:rPr>
        <w:t xml:space="preserve"> </w:t>
      </w:r>
      <w:r w:rsidRPr="00DC049B">
        <w:rPr>
          <w:lang w:val="en-GB"/>
        </w:rPr>
        <w:t>S</w:t>
      </w:r>
      <w:r w:rsidR="000E5124" w:rsidRPr="00DC049B">
        <w:rPr>
          <w:lang w:val="en-GB"/>
        </w:rPr>
        <w:t xml:space="preserve">afety </w:t>
      </w:r>
      <w:r w:rsidRPr="00DC049B">
        <w:rPr>
          <w:lang w:val="en-GB"/>
        </w:rPr>
        <w:t>C</w:t>
      </w:r>
      <w:r w:rsidR="000E5124" w:rsidRPr="00DC049B">
        <w:rPr>
          <w:lang w:val="en-GB"/>
        </w:rPr>
        <w:t xml:space="preserve">ase contains a structured argument (rationale) demonstrating that the evidence is sufficient to show that the system is safe. The argument should be commensurate with the potential risk, the inherent system complexity, the novelty of </w:t>
      </w:r>
      <w:r w:rsidR="00AB2398" w:rsidRPr="00DC049B">
        <w:rPr>
          <w:lang w:val="en-GB"/>
        </w:rPr>
        <w:t xml:space="preserve">the </w:t>
      </w:r>
      <w:r w:rsidR="000E5124" w:rsidRPr="00DC049B">
        <w:rPr>
          <w:lang w:val="en-GB"/>
        </w:rPr>
        <w:t>approach or technology, the uncertainty of the context of use, the human factor issues, etc. The distinction between claims, arguments, and evidence is very important because it provides a common language and notation, helps build a logical structure, and allows for focus on each component and their relationship, thus enforcing the reasoning, helping the communication, and facing the challenge.</w:t>
      </w:r>
    </w:p>
    <w:p w14:paraId="3C73C8B3" w14:textId="58288EC0" w:rsidR="000E5124" w:rsidRPr="00DC049B" w:rsidRDefault="000E5124" w:rsidP="000E5124">
      <w:pPr>
        <w:pStyle w:val="CETBodytext"/>
        <w:rPr>
          <w:lang w:val="en-GB"/>
        </w:rPr>
      </w:pPr>
      <w:r w:rsidRPr="00DC049B">
        <w:rPr>
          <w:lang w:val="en-GB"/>
        </w:rPr>
        <w:t xml:space="preserve">The CAE </w:t>
      </w:r>
      <w:r w:rsidR="00E06A26" w:rsidRPr="00DC049B">
        <w:rPr>
          <w:lang w:val="en-GB"/>
        </w:rPr>
        <w:t xml:space="preserve">(Bloomfield &amp; Netkachova, 2014) </w:t>
      </w:r>
      <w:r w:rsidRPr="00DC049B">
        <w:rPr>
          <w:lang w:val="en-GB"/>
        </w:rPr>
        <w:t xml:space="preserve">and GSN </w:t>
      </w:r>
      <w:r w:rsidR="00E06A26" w:rsidRPr="00DC049B">
        <w:rPr>
          <w:lang w:val="en-GB"/>
        </w:rPr>
        <w:t xml:space="preserve">(Spriggs, 2012) </w:t>
      </w:r>
      <w:r w:rsidRPr="00DC049B">
        <w:rPr>
          <w:lang w:val="en-GB"/>
        </w:rPr>
        <w:t xml:space="preserve">are </w:t>
      </w:r>
      <w:r w:rsidR="00064985">
        <w:rPr>
          <w:lang w:val="en-GB"/>
        </w:rPr>
        <w:t xml:space="preserve">well-established graphical notations </w:t>
      </w:r>
      <w:r w:rsidR="003D0F13">
        <w:rPr>
          <w:lang w:val="en-GB"/>
        </w:rPr>
        <w:t xml:space="preserve">that can </w:t>
      </w:r>
      <w:r w:rsidR="00654097">
        <w:rPr>
          <w:lang w:val="en-GB"/>
        </w:rPr>
        <w:t>achieve these objectives practically</w:t>
      </w:r>
      <w:r w:rsidRPr="00DC049B">
        <w:rPr>
          <w:lang w:val="en-GB"/>
        </w:rPr>
        <w:t>. Both standards are continuously updated.</w:t>
      </w:r>
      <w:r w:rsidR="00005AD1" w:rsidRPr="00DC049B">
        <w:rPr>
          <w:lang w:val="en-GB"/>
        </w:rPr>
        <w:t xml:space="preserve"> </w:t>
      </w:r>
      <w:r w:rsidRPr="00DC049B">
        <w:rPr>
          <w:lang w:val="en-GB"/>
        </w:rPr>
        <w:t xml:space="preserve">The core node types are broadly equivalent to CAE and GSN notations (claim: goal; argument: strategy; and evidence: solution). The goal type in GSN is certainly a claim, as per the GSN standard. Moreover, for both the notations, the nodes are linked to show lines of support for each argument element, and each branch ends with evidence, solutions, or data. As shown in Figure </w:t>
      </w:r>
      <w:r w:rsidR="00005AD1" w:rsidRPr="00DC049B">
        <w:rPr>
          <w:lang w:val="en-GB"/>
        </w:rPr>
        <w:t>1</w:t>
      </w:r>
      <w:r w:rsidRPr="00DC049B">
        <w:rPr>
          <w:lang w:val="en-GB"/>
        </w:rPr>
        <w:t>, the two notations use different shapes</w:t>
      </w:r>
      <w:r w:rsidR="00654097">
        <w:rPr>
          <w:lang w:val="en-GB"/>
        </w:rPr>
        <w:t>,</w:t>
      </w:r>
      <w:r w:rsidRPr="00DC049B">
        <w:rPr>
          <w:lang w:val="en-GB"/>
        </w:rPr>
        <w:t xml:space="preserve"> and the GSN has many more elements. However, this does not mean that one method is more efficient than the other; the CAE puts more emphasis on supporting </w:t>
      </w:r>
      <w:r w:rsidR="00AB2398" w:rsidRPr="00DC049B">
        <w:rPr>
          <w:lang w:val="en-GB"/>
        </w:rPr>
        <w:t xml:space="preserve">the </w:t>
      </w:r>
      <w:r w:rsidRPr="00DC049B">
        <w:rPr>
          <w:lang w:val="en-GB"/>
        </w:rPr>
        <w:t>narrative. Even if the arrow direction is different, the semantics are the same.</w:t>
      </w:r>
    </w:p>
    <w:p w14:paraId="3882BD78" w14:textId="5732BA5E" w:rsidR="000E5124" w:rsidRPr="00DC049B" w:rsidRDefault="000E5124" w:rsidP="000E5124">
      <w:pPr>
        <w:pStyle w:val="CETBodytext"/>
        <w:rPr>
          <w:lang w:val="en-GB"/>
        </w:rPr>
      </w:pPr>
      <w:r w:rsidRPr="00DC049B">
        <w:rPr>
          <w:lang w:val="en-GB"/>
        </w:rPr>
        <w:t xml:space="preserve">One of the most obvious differences between the methodologies </w:t>
      </w:r>
      <w:r w:rsidR="00064985">
        <w:rPr>
          <w:lang w:val="en-GB"/>
        </w:rPr>
        <w:t>is that while CAE notation explicitly uses colour to identify elements, GSN notation, conceived many years earlier, favours black-and-white diagrams. This choice facilitates the sharing of information, although in today’s world,</w:t>
      </w:r>
      <w:r w:rsidRPr="00DC049B">
        <w:rPr>
          <w:lang w:val="en-GB"/>
        </w:rPr>
        <w:t xml:space="preserve"> it is common and practical to have documents, even on paper, in </w:t>
      </w:r>
      <w:r w:rsidR="00AB2398" w:rsidRPr="00DC049B">
        <w:rPr>
          <w:lang w:val="en-GB"/>
        </w:rPr>
        <w:t>colour</w:t>
      </w:r>
      <w:r w:rsidRPr="00DC049B">
        <w:rPr>
          <w:lang w:val="en-GB"/>
        </w:rPr>
        <w:t xml:space="preserve">. The planned use of </w:t>
      </w:r>
      <w:r w:rsidR="00AB2398" w:rsidRPr="00DC049B">
        <w:rPr>
          <w:lang w:val="en-GB"/>
        </w:rPr>
        <w:t>colour</w:t>
      </w:r>
      <w:r w:rsidRPr="00DC049B">
        <w:rPr>
          <w:lang w:val="en-GB"/>
        </w:rPr>
        <w:t xml:space="preserve"> ensures better understanding, especially for non-experts.</w:t>
      </w:r>
    </w:p>
    <w:p w14:paraId="47979AA8" w14:textId="275229B0" w:rsidR="00005AD1" w:rsidRPr="00DC049B" w:rsidRDefault="00064985" w:rsidP="000E5124">
      <w:pPr>
        <w:pStyle w:val="CETBodytext"/>
        <w:rPr>
          <w:lang w:val="en-GB"/>
        </w:rPr>
      </w:pPr>
      <w:r>
        <w:rPr>
          <w:lang w:val="en-GB"/>
        </w:rPr>
        <w:t>The CAE approach is used for the proposed “executive summary”</w:t>
      </w:r>
      <w:r w:rsidR="0008484A" w:rsidRPr="00DC049B">
        <w:rPr>
          <w:lang w:val="en-GB"/>
        </w:rPr>
        <w:t>, as shown in Figure 2.</w:t>
      </w:r>
    </w:p>
    <w:p w14:paraId="707ED563" w14:textId="77777777" w:rsidR="00005AD1" w:rsidRPr="00DC049B" w:rsidRDefault="00005AD1" w:rsidP="000E5124">
      <w:pPr>
        <w:pStyle w:val="CETBodytext"/>
        <w:rPr>
          <w:lang w:val="en-GB"/>
        </w:rPr>
      </w:pPr>
    </w:p>
    <w:p w14:paraId="1D4DE93B" w14:textId="603F02CA" w:rsidR="00005AD1" w:rsidRPr="00DC049B" w:rsidRDefault="00005AD1" w:rsidP="00005AD1">
      <w:pPr>
        <w:rPr>
          <w:rFonts w:ascii="Times New Roman" w:hAnsi="Times New Roman"/>
          <w:color w:val="000000" w:themeColor="text1"/>
          <w:sz w:val="24"/>
        </w:rPr>
      </w:pPr>
      <w:r w:rsidRPr="00DC049B">
        <w:rPr>
          <w:noProof/>
          <w:color w:val="000000" w:themeColor="text1"/>
          <w:lang w:eastAsia="it-IT"/>
        </w:rPr>
        <w:drawing>
          <wp:inline distT="0" distB="0" distL="0" distR="0" wp14:anchorId="2EEAFB0E" wp14:editId="29EAA8E7">
            <wp:extent cx="2572319" cy="1800000"/>
            <wp:effectExtent l="0" t="0" r="0" b="0"/>
            <wp:docPr id="18283299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2319" cy="1800000"/>
                    </a:xfrm>
                    <a:prstGeom prst="rect">
                      <a:avLst/>
                    </a:prstGeom>
                    <a:noFill/>
                    <a:ln>
                      <a:noFill/>
                    </a:ln>
                  </pic:spPr>
                </pic:pic>
              </a:graphicData>
            </a:graphic>
          </wp:inline>
        </w:drawing>
      </w:r>
      <w:r w:rsidRPr="00DC049B">
        <w:rPr>
          <w:rFonts w:ascii="Times New Roman" w:hAnsi="Times New Roman"/>
          <w:color w:val="000000" w:themeColor="text1"/>
          <w:sz w:val="24"/>
        </w:rPr>
        <w:t xml:space="preserve">              </w:t>
      </w:r>
      <w:r w:rsidRPr="00DC049B">
        <w:rPr>
          <w:noProof/>
          <w:color w:val="000000" w:themeColor="text1"/>
          <w:lang w:eastAsia="it-IT"/>
        </w:rPr>
        <w:drawing>
          <wp:inline distT="0" distB="0" distL="0" distR="0" wp14:anchorId="11B54EF2" wp14:editId="052D149A">
            <wp:extent cx="904152" cy="1800000"/>
            <wp:effectExtent l="0" t="0" r="0" b="0"/>
            <wp:docPr id="799335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152" cy="1800000"/>
                    </a:xfrm>
                    <a:prstGeom prst="rect">
                      <a:avLst/>
                    </a:prstGeom>
                    <a:noFill/>
                    <a:ln>
                      <a:noFill/>
                    </a:ln>
                  </pic:spPr>
                </pic:pic>
              </a:graphicData>
            </a:graphic>
          </wp:inline>
        </w:drawing>
      </w:r>
    </w:p>
    <w:p w14:paraId="50F940FE" w14:textId="6D24B613" w:rsidR="00005AD1" w:rsidRPr="00DC049B" w:rsidRDefault="00005AD1" w:rsidP="00005AD1">
      <w:pPr>
        <w:pStyle w:val="CETCaption"/>
      </w:pPr>
      <w:bookmarkStart w:id="0" w:name="_Toc143818063"/>
      <w:r w:rsidRPr="00DC049B">
        <w:t>Figure 1 - GSN paradigm</w:t>
      </w:r>
      <w:bookmarkEnd w:id="0"/>
      <w:r w:rsidRPr="00DC049B">
        <w:t xml:space="preserve"> on the left (a) and CAE paradigm on the right (b)</w:t>
      </w:r>
    </w:p>
    <w:p w14:paraId="676FF1BA" w14:textId="524F3EC5" w:rsidR="0008484A" w:rsidRPr="00DC049B" w:rsidRDefault="0008484A" w:rsidP="00005AD1">
      <w:pPr>
        <w:pStyle w:val="CETCaption"/>
      </w:pPr>
      <w:r w:rsidRPr="00DC049B">
        <w:rPr>
          <w:noProof/>
          <w:lang w:eastAsia="it-IT"/>
        </w:rPr>
        <w:drawing>
          <wp:inline distT="0" distB="0" distL="0" distR="0" wp14:anchorId="4527E1A9" wp14:editId="6CDC228B">
            <wp:extent cx="3657600" cy="2098166"/>
            <wp:effectExtent l="0" t="0" r="0" b="0"/>
            <wp:docPr id="1997066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6607" name="Immagine 1"/>
                    <pic:cNvPicPr>
                      <a:picLocks noChangeAspect="1"/>
                    </pic:cNvPicPr>
                  </pic:nvPicPr>
                  <pic:blipFill rotWithShape="1">
                    <a:blip r:embed="rId12">
                      <a:extLst>
                        <a:ext uri="{28A0092B-C50C-407E-A947-70E740481C1C}">
                          <a14:useLocalDpi xmlns:a14="http://schemas.microsoft.com/office/drawing/2010/main" val="0"/>
                        </a:ext>
                      </a:extLst>
                    </a:blip>
                    <a:srcRect t="39169"/>
                    <a:stretch/>
                  </pic:blipFill>
                  <pic:spPr bwMode="auto">
                    <a:xfrm>
                      <a:off x="0" y="0"/>
                      <a:ext cx="3683639" cy="2113103"/>
                    </a:xfrm>
                    <a:prstGeom prst="rect">
                      <a:avLst/>
                    </a:prstGeom>
                    <a:noFill/>
                    <a:ln>
                      <a:noFill/>
                    </a:ln>
                    <a:extLst>
                      <a:ext uri="{53640926-AAD7-44D8-BBD7-CCE9431645EC}">
                        <a14:shadowObscured xmlns:a14="http://schemas.microsoft.com/office/drawing/2010/main"/>
                      </a:ext>
                    </a:extLst>
                  </pic:spPr>
                </pic:pic>
              </a:graphicData>
            </a:graphic>
          </wp:inline>
        </w:drawing>
      </w:r>
    </w:p>
    <w:p w14:paraId="779E9CCD" w14:textId="2CFE5146" w:rsidR="0008484A" w:rsidRPr="00DC049B" w:rsidRDefault="0008484A" w:rsidP="0008484A">
      <w:pPr>
        <w:pStyle w:val="CETCaption"/>
      </w:pPr>
      <w:r w:rsidRPr="00DC049B">
        <w:t>Figure 2 – CAE diagram</w:t>
      </w:r>
    </w:p>
    <w:p w14:paraId="6C4FC5D6" w14:textId="77777777" w:rsidR="000E5124" w:rsidRPr="00DC049B" w:rsidRDefault="000E5124" w:rsidP="000E5124">
      <w:pPr>
        <w:pStyle w:val="CETBodytext"/>
        <w:rPr>
          <w:lang w:val="en-GB"/>
        </w:rPr>
      </w:pPr>
    </w:p>
    <w:p w14:paraId="11BC372F" w14:textId="742BF18C" w:rsidR="000E5124" w:rsidRPr="00DC049B" w:rsidRDefault="00C73D33" w:rsidP="000E5124">
      <w:pPr>
        <w:pStyle w:val="CETheadingx"/>
        <w:rPr>
          <w:lang w:val="en-GB"/>
        </w:rPr>
      </w:pPr>
      <w:r w:rsidRPr="00DC049B">
        <w:rPr>
          <w:lang w:val="en-GB"/>
        </w:rPr>
        <w:t>Patterns to reduce complexity</w:t>
      </w:r>
    </w:p>
    <w:p w14:paraId="4B5E3CC6" w14:textId="6F02334A" w:rsidR="000E5124" w:rsidRPr="00DC049B" w:rsidRDefault="000E5124" w:rsidP="000E5124">
      <w:pPr>
        <w:pStyle w:val="CETBodytext"/>
        <w:rPr>
          <w:lang w:val="en-GB"/>
        </w:rPr>
      </w:pPr>
      <w:r w:rsidRPr="00DC049B">
        <w:rPr>
          <w:lang w:val="en-GB"/>
        </w:rPr>
        <w:t xml:space="preserve">The structured analysis of </w:t>
      </w:r>
      <w:r w:rsidR="00064985">
        <w:rPr>
          <w:lang w:val="en-GB"/>
        </w:rPr>
        <w:t>Iplom's industrial safety makes it possible to identify modular and repeatable syntactic constructs of the Safety Case, which are the so-called "patterns."</w:t>
      </w:r>
    </w:p>
    <w:p w14:paraId="794E5909" w14:textId="59B851BE" w:rsidR="000E5124" w:rsidRPr="00DC049B" w:rsidRDefault="000E5124" w:rsidP="000E5124">
      <w:pPr>
        <w:pStyle w:val="CETBodytext"/>
        <w:rPr>
          <w:lang w:val="en-GB"/>
        </w:rPr>
      </w:pPr>
      <w:r w:rsidRPr="00DC049B">
        <w:rPr>
          <w:lang w:val="en-GB"/>
        </w:rPr>
        <w:t xml:space="preserve">The pattern is a portion of the </w:t>
      </w:r>
      <w:r w:rsidR="003F3512" w:rsidRPr="00DC049B">
        <w:rPr>
          <w:lang w:val="en-GB"/>
        </w:rPr>
        <w:t>Safety Case</w:t>
      </w:r>
      <w:r w:rsidRPr="00DC049B">
        <w:rPr>
          <w:lang w:val="en-GB"/>
        </w:rPr>
        <w:t xml:space="preserve">, or - in the CAE notation - a defined set of claims, arguments and evidence, </w:t>
      </w:r>
      <w:r w:rsidR="00B723A1">
        <w:rPr>
          <w:lang w:val="en-GB"/>
        </w:rPr>
        <w:t>characterised</w:t>
      </w:r>
      <w:r w:rsidRPr="00DC049B">
        <w:rPr>
          <w:lang w:val="en-GB"/>
        </w:rPr>
        <w:t xml:space="preserve"> by the possibility of being replicated within the same </w:t>
      </w:r>
      <w:r w:rsidR="003F3512" w:rsidRPr="00DC049B">
        <w:rPr>
          <w:lang w:val="en-GB"/>
        </w:rPr>
        <w:t>Safety Case</w:t>
      </w:r>
      <w:r w:rsidRPr="00DC049B">
        <w:rPr>
          <w:lang w:val="en-GB"/>
        </w:rPr>
        <w:t xml:space="preserve"> to </w:t>
      </w:r>
      <w:r w:rsidR="00B723A1">
        <w:rPr>
          <w:lang w:val="en-GB"/>
        </w:rPr>
        <w:t>analyse</w:t>
      </w:r>
      <w:r w:rsidRPr="00DC049B">
        <w:rPr>
          <w:lang w:val="en-GB"/>
        </w:rPr>
        <w:t xml:space="preserve"> different sub-systems of the single general system, through the same analytical and structured approach, or the exact structure of claims, arguments and evidence, appropriately declined to depict the peculiarities of the specific sub-system analysed.</w:t>
      </w:r>
    </w:p>
    <w:p w14:paraId="4DBA97B1" w14:textId="3BC6438D" w:rsidR="000E5124" w:rsidRPr="00DC049B" w:rsidRDefault="000E5124" w:rsidP="000E5124">
      <w:pPr>
        <w:pStyle w:val="CETBodytext"/>
        <w:rPr>
          <w:lang w:val="en-GB"/>
        </w:rPr>
      </w:pPr>
      <w:r w:rsidRPr="00DC049B">
        <w:rPr>
          <w:lang w:val="en-GB"/>
        </w:rPr>
        <w:t>The possibility of using patterns derives</w:t>
      </w:r>
      <w:r w:rsidR="00654097">
        <w:rPr>
          <w:lang w:val="en-GB"/>
        </w:rPr>
        <w:t>,</w:t>
      </w:r>
      <w:r w:rsidRPr="00DC049B">
        <w:rPr>
          <w:lang w:val="en-GB"/>
        </w:rPr>
        <w:t xml:space="preserve"> on the one hand</w:t>
      </w:r>
      <w:r w:rsidR="00654097">
        <w:rPr>
          <w:lang w:val="en-GB"/>
        </w:rPr>
        <w:t>,</w:t>
      </w:r>
      <w:r w:rsidRPr="00DC049B">
        <w:rPr>
          <w:lang w:val="en-GB"/>
        </w:rPr>
        <w:t xml:space="preserve"> from the observation that the </w:t>
      </w:r>
      <w:r w:rsidR="00B723A1">
        <w:rPr>
          <w:lang w:val="en-GB"/>
        </w:rPr>
        <w:t>analysed</w:t>
      </w:r>
      <w:r w:rsidRPr="00DC049B">
        <w:rPr>
          <w:lang w:val="en-GB"/>
        </w:rPr>
        <w:t xml:space="preserve"> socio-technical system (i.e. the </w:t>
      </w:r>
      <w:r w:rsidR="00005AD1" w:rsidRPr="00DC049B">
        <w:rPr>
          <w:lang w:val="en-GB"/>
        </w:rPr>
        <w:t>industrial plant</w:t>
      </w:r>
      <w:r w:rsidRPr="00DC049B">
        <w:rPr>
          <w:lang w:val="en-GB"/>
        </w:rPr>
        <w:t xml:space="preserve">) is actually made up of technical </w:t>
      </w:r>
      <w:r w:rsidR="00654097">
        <w:rPr>
          <w:lang w:val="en-GB"/>
        </w:rPr>
        <w:t>and</w:t>
      </w:r>
      <w:r w:rsidRPr="00DC049B">
        <w:rPr>
          <w:lang w:val="en-GB"/>
        </w:rPr>
        <w:t xml:space="preserve"> human sub-systems belonging to homogeneous families and</w:t>
      </w:r>
      <w:r w:rsidR="00654097">
        <w:rPr>
          <w:lang w:val="en-GB"/>
        </w:rPr>
        <w:t>,</w:t>
      </w:r>
      <w:r w:rsidRPr="00DC049B">
        <w:rPr>
          <w:lang w:val="en-GB"/>
        </w:rPr>
        <w:t xml:space="preserve"> therefore</w:t>
      </w:r>
      <w:r w:rsidR="00B723A1">
        <w:rPr>
          <w:lang w:val="en-GB"/>
        </w:rPr>
        <w:t>,</w:t>
      </w:r>
      <w:r w:rsidRPr="00DC049B">
        <w:rPr>
          <w:lang w:val="en-GB"/>
        </w:rPr>
        <w:t xml:space="preserve"> </w:t>
      </w:r>
      <w:r w:rsidR="00654097">
        <w:rPr>
          <w:lang w:val="en-GB"/>
        </w:rPr>
        <w:t>analysable</w:t>
      </w:r>
      <w:r w:rsidRPr="00DC049B">
        <w:rPr>
          <w:lang w:val="en-GB"/>
        </w:rPr>
        <w:t xml:space="preserve"> according to the same " working scheme” that preserves the peculiarities of each sub-system; on the other hand, from the logical superstructure at the basis of the most modern approach to </w:t>
      </w:r>
      <w:r w:rsidR="0008484A" w:rsidRPr="00DC049B">
        <w:rPr>
          <w:lang w:val="en-GB"/>
        </w:rPr>
        <w:t>industrial</w:t>
      </w:r>
      <w:r w:rsidRPr="00DC049B">
        <w:rPr>
          <w:lang w:val="en-GB"/>
        </w:rPr>
        <w:t xml:space="preserve"> safety which identifies </w:t>
      </w:r>
      <w:r w:rsidR="0008484A" w:rsidRPr="00DC049B">
        <w:rPr>
          <w:lang w:val="en-GB"/>
        </w:rPr>
        <w:t xml:space="preserve">quite </w:t>
      </w:r>
      <w:r w:rsidRPr="00DC049B">
        <w:rPr>
          <w:lang w:val="en-GB"/>
        </w:rPr>
        <w:t>standard risk control measures - the performance of which must, in any case, be calibrated and verified for the specific case.</w:t>
      </w:r>
    </w:p>
    <w:p w14:paraId="7B1A7549" w14:textId="77777777" w:rsidR="000E5124" w:rsidRPr="00DC049B" w:rsidRDefault="000E5124" w:rsidP="000E5124">
      <w:pPr>
        <w:pStyle w:val="CETBodytext"/>
        <w:rPr>
          <w:lang w:val="en-GB"/>
        </w:rPr>
      </w:pPr>
    </w:p>
    <w:p w14:paraId="60392D81" w14:textId="4FD2AE84" w:rsidR="000E5124" w:rsidRPr="00DC049B" w:rsidRDefault="000E5124" w:rsidP="000E5124">
      <w:pPr>
        <w:pStyle w:val="CETheadingx"/>
        <w:rPr>
          <w:lang w:val="en-GB"/>
        </w:rPr>
      </w:pPr>
      <w:r w:rsidRPr="00DC049B">
        <w:rPr>
          <w:lang w:val="en-GB"/>
        </w:rPr>
        <w:t xml:space="preserve">The barrier-based </w:t>
      </w:r>
      <w:r w:rsidR="00654097">
        <w:rPr>
          <w:lang w:val="en-GB"/>
        </w:rPr>
        <w:t>approach</w:t>
      </w:r>
      <w:r w:rsidRPr="00DC049B">
        <w:rPr>
          <w:lang w:val="en-GB"/>
        </w:rPr>
        <w:t xml:space="preserve"> </w:t>
      </w:r>
      <w:r w:rsidR="00C73D33" w:rsidRPr="00DC049B">
        <w:rPr>
          <w:lang w:val="en-GB"/>
        </w:rPr>
        <w:t xml:space="preserve">to support the Safety Case </w:t>
      </w:r>
      <w:r w:rsidR="00654097">
        <w:rPr>
          <w:lang w:val="en-GB"/>
        </w:rPr>
        <w:t>development</w:t>
      </w:r>
    </w:p>
    <w:p w14:paraId="2B1C1AF8" w14:textId="2B723E78" w:rsidR="009E0332" w:rsidRPr="00DC049B" w:rsidRDefault="00BE241E" w:rsidP="000E5124">
      <w:pPr>
        <w:pStyle w:val="CETBodytext"/>
        <w:rPr>
          <w:lang w:val="en-GB"/>
        </w:rPr>
      </w:pPr>
      <w:r w:rsidRPr="00DC049B">
        <w:rPr>
          <w:lang w:val="en-GB"/>
        </w:rPr>
        <w:t xml:space="preserve">The </w:t>
      </w:r>
      <w:r w:rsidR="003F3512" w:rsidRPr="00DC049B">
        <w:rPr>
          <w:lang w:val="en-GB"/>
        </w:rPr>
        <w:t>Safety Case</w:t>
      </w:r>
      <w:r w:rsidRPr="00DC049B">
        <w:rPr>
          <w:lang w:val="en-GB"/>
        </w:rPr>
        <w:t xml:space="preserve"> becomes a structured recomposition of the various information available on risk management, using precise methodologies and notations for this purpose, such as those set out in the previous paragraph. It is noted that the adoption of a barrier-based approach to risk management is encouraged, as thanks to methods such as the Bow-Tie</w:t>
      </w:r>
      <w:r w:rsidR="00C73D33" w:rsidRPr="00DC049B">
        <w:rPr>
          <w:lang w:val="en-GB"/>
        </w:rPr>
        <w:t>,</w:t>
      </w:r>
      <w:r w:rsidRPr="00DC049B">
        <w:rPr>
          <w:lang w:val="en-GB"/>
        </w:rPr>
        <w:t xml:space="preserve"> it is possible to create functional links between the </w:t>
      </w:r>
      <w:r w:rsidR="003F3512" w:rsidRPr="00DC049B">
        <w:rPr>
          <w:lang w:val="en-GB"/>
        </w:rPr>
        <w:t>Safety Case</w:t>
      </w:r>
      <w:r w:rsidRPr="00DC049B">
        <w:rPr>
          <w:lang w:val="en-GB"/>
        </w:rPr>
        <w:t xml:space="preserve"> evidence and the typical elements of a Bow-Tie diagram</w:t>
      </w:r>
      <w:r w:rsidR="0008484A" w:rsidRPr="00DC049B">
        <w:rPr>
          <w:lang w:val="en-GB"/>
        </w:rPr>
        <w:t>,</w:t>
      </w:r>
      <w:r w:rsidRPr="00DC049B">
        <w:rPr>
          <w:lang w:val="en-GB"/>
        </w:rPr>
        <w:t xml:space="preserve"> such as barriers</w:t>
      </w:r>
      <w:r w:rsidR="00C73D33" w:rsidRPr="00DC049B">
        <w:rPr>
          <w:lang w:val="en-GB"/>
        </w:rPr>
        <w:t xml:space="preserve"> (Fiorentini, 2021)</w:t>
      </w:r>
      <w:r w:rsidRPr="00DC049B">
        <w:rPr>
          <w:lang w:val="en-GB"/>
        </w:rPr>
        <w:t xml:space="preserve">. Furthermore, </w:t>
      </w:r>
      <w:r w:rsidR="00064985">
        <w:rPr>
          <w:lang w:val="en-GB"/>
        </w:rPr>
        <w:t xml:space="preserve">using this approach makes it even easier to visualise the risk analysis results and demonstrate the ALARP conditions possibly achieved, as </w:t>
      </w:r>
      <w:r w:rsidRPr="00DC049B">
        <w:rPr>
          <w:lang w:val="en-GB"/>
        </w:rPr>
        <w:t>stated in Fiorentini and Marmo, 2018</w:t>
      </w:r>
      <w:r w:rsidR="0008484A" w:rsidRPr="00DC049B">
        <w:rPr>
          <w:lang w:val="en-GB"/>
        </w:rPr>
        <w:t>.</w:t>
      </w:r>
    </w:p>
    <w:p w14:paraId="5719C35D" w14:textId="77777777" w:rsidR="0087695C" w:rsidRPr="00DC049B" w:rsidRDefault="0087695C" w:rsidP="000E5124">
      <w:pPr>
        <w:pStyle w:val="CETBodytext"/>
        <w:rPr>
          <w:lang w:val="en-GB"/>
        </w:rPr>
      </w:pPr>
    </w:p>
    <w:p w14:paraId="40C9F8EA" w14:textId="00D556AE" w:rsidR="0087695C" w:rsidRPr="00DC049B" w:rsidRDefault="0087695C" w:rsidP="0087695C">
      <w:pPr>
        <w:rPr>
          <w:rFonts w:ascii="Times New Roman" w:hAnsi="Times New Roman"/>
          <w:b/>
          <w:color w:val="000000" w:themeColor="text1"/>
          <w:sz w:val="24"/>
          <w:szCs w:val="24"/>
        </w:rPr>
      </w:pPr>
      <w:r w:rsidRPr="00DC049B">
        <w:rPr>
          <w:noProof/>
          <w:color w:val="000000" w:themeColor="text1"/>
          <w:szCs w:val="24"/>
          <w:lang w:eastAsia="it-IT"/>
        </w:rPr>
        <w:drawing>
          <wp:inline distT="0" distB="0" distL="0" distR="0" wp14:anchorId="375B3340" wp14:editId="3A0F6F55">
            <wp:extent cx="4540250" cy="1513417"/>
            <wp:effectExtent l="0" t="0" r="0" b="0"/>
            <wp:docPr id="192328138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8364" cy="1519455"/>
                    </a:xfrm>
                    <a:prstGeom prst="rect">
                      <a:avLst/>
                    </a:prstGeom>
                    <a:noFill/>
                    <a:ln>
                      <a:noFill/>
                    </a:ln>
                  </pic:spPr>
                </pic:pic>
              </a:graphicData>
            </a:graphic>
          </wp:inline>
        </w:drawing>
      </w:r>
    </w:p>
    <w:p w14:paraId="1F5EFA9B" w14:textId="1BB56BA9" w:rsidR="0087695C" w:rsidRPr="00DC049B" w:rsidRDefault="0087695C" w:rsidP="0087695C">
      <w:pPr>
        <w:pStyle w:val="CETCaption"/>
      </w:pPr>
      <w:bookmarkStart w:id="1" w:name="_Toc143818085"/>
      <w:r w:rsidRPr="00DC049B">
        <w:t>Figure 3 - Bow-Tie diagram structure</w:t>
      </w:r>
      <w:bookmarkEnd w:id="1"/>
    </w:p>
    <w:p w14:paraId="53F7FF83" w14:textId="5E951D4C" w:rsidR="0087695C" w:rsidRPr="00DC049B" w:rsidRDefault="00C73D33" w:rsidP="002E3844">
      <w:pPr>
        <w:pStyle w:val="CETBodytext"/>
        <w:rPr>
          <w:lang w:val="en-GB"/>
        </w:rPr>
      </w:pPr>
      <w:r w:rsidRPr="00DC049B">
        <w:rPr>
          <w:lang w:val="en-GB"/>
        </w:rPr>
        <w:t>The Bow-Tie technique involves the development of logical flow diagrams in three distinct zones</w:t>
      </w:r>
      <w:r w:rsidR="00DC049B">
        <w:rPr>
          <w:lang w:val="en-GB"/>
        </w:rPr>
        <w:t xml:space="preserve"> (</w:t>
      </w:r>
      <w:r w:rsidR="00DC049B" w:rsidRPr="00DC049B">
        <w:rPr>
          <w:lang w:val="en-GB"/>
        </w:rPr>
        <w:t>Fiorentini and Marmo</w:t>
      </w:r>
      <w:r w:rsidR="00DC049B">
        <w:rPr>
          <w:lang w:val="en-GB"/>
        </w:rPr>
        <w:t xml:space="preserve">, </w:t>
      </w:r>
      <w:r w:rsidR="00DC049B" w:rsidRPr="00DC049B">
        <w:rPr>
          <w:lang w:val="en-GB"/>
        </w:rPr>
        <w:t>2018)</w:t>
      </w:r>
      <w:r w:rsidRPr="00DC049B">
        <w:rPr>
          <w:lang w:val="en-GB"/>
        </w:rPr>
        <w:t>, as shown in Figure 3</w:t>
      </w:r>
      <w:r w:rsidR="002E3844">
        <w:rPr>
          <w:lang w:val="en-GB"/>
        </w:rPr>
        <w:t>. “</w:t>
      </w:r>
      <w:r w:rsidR="00654097" w:rsidRPr="002E3844">
        <w:rPr>
          <w:lang w:val="en-GB"/>
        </w:rPr>
        <w:t>Zone 1" (Prevention) on the left side lists all potential causes (blue rectangles) associated with the unwanted event and the specific protection systems, akin to a simplified fault tree.</w:t>
      </w:r>
      <w:r w:rsidR="002E3844">
        <w:rPr>
          <w:lang w:val="en-GB"/>
        </w:rPr>
        <w:t xml:space="preserve"> </w:t>
      </w:r>
      <w:r w:rsidR="002E3844" w:rsidRPr="002E3844">
        <w:rPr>
          <w:lang w:val="en-GB"/>
        </w:rPr>
        <w:t xml:space="preserve">The "Zone 2" (Top event) in the </w:t>
      </w:r>
      <w:r w:rsidR="00732F03">
        <w:rPr>
          <w:lang w:val="en-GB"/>
        </w:rPr>
        <w:t>centre</w:t>
      </w:r>
      <w:r w:rsidR="002E3844" w:rsidRPr="002E3844">
        <w:rPr>
          <w:lang w:val="en-GB"/>
        </w:rPr>
        <w:t xml:space="preserve"> of the diagram identifies the specific danger (yellow and black striped rectangle) and represents the primary incidental event. It can evolve based on the dynamics of the incident in alternative scenarios.</w:t>
      </w:r>
      <w:r w:rsidR="002E3844">
        <w:rPr>
          <w:lang w:val="en-GB"/>
        </w:rPr>
        <w:t xml:space="preserve"> "Zone 3" (Protection) covers potential incidental scenarios like burning gas jets, explosions, </w:t>
      </w:r>
      <w:r w:rsidR="00732F03">
        <w:rPr>
          <w:lang w:val="en-GB"/>
        </w:rPr>
        <w:t>flash fires, and</w:t>
      </w:r>
      <w:r w:rsidR="002E3844">
        <w:rPr>
          <w:lang w:val="en-GB"/>
        </w:rPr>
        <w:t xml:space="preserve"> protective systems to mitigate their effects. It's essentially a simplified event tree.</w:t>
      </w:r>
    </w:p>
    <w:p w14:paraId="16EE8658" w14:textId="67F64078" w:rsidR="000E5124" w:rsidRPr="00DC049B" w:rsidRDefault="000E5124" w:rsidP="000E5124">
      <w:pPr>
        <w:pStyle w:val="CETHeading1"/>
        <w:rPr>
          <w:lang w:val="en-GB"/>
        </w:rPr>
      </w:pPr>
      <w:r w:rsidRPr="00DC049B">
        <w:rPr>
          <w:lang w:val="en-GB"/>
        </w:rPr>
        <w:t xml:space="preserve">Contents of the proposed </w:t>
      </w:r>
      <w:r w:rsidR="00C73D33" w:rsidRPr="00DC049B">
        <w:rPr>
          <w:lang w:val="en-GB"/>
        </w:rPr>
        <w:t>Safety Case</w:t>
      </w:r>
    </w:p>
    <w:p w14:paraId="2C4EF62C" w14:textId="5FB5D550" w:rsidR="00975B57" w:rsidRPr="00DC049B" w:rsidRDefault="00BE241E" w:rsidP="000E5124">
      <w:pPr>
        <w:pStyle w:val="CETBodytext"/>
        <w:rPr>
          <w:lang w:val="en-GB"/>
        </w:rPr>
      </w:pPr>
      <w:r w:rsidRPr="00DC049B">
        <w:rPr>
          <w:lang w:val="en-GB"/>
        </w:rPr>
        <w:t xml:space="preserve">Based on the critical issues raised </w:t>
      </w:r>
      <w:r w:rsidR="00AB2398" w:rsidRPr="00DC049B">
        <w:rPr>
          <w:lang w:val="en-GB"/>
        </w:rPr>
        <w:t>concerning</w:t>
      </w:r>
      <w:r w:rsidRPr="00DC049B">
        <w:rPr>
          <w:lang w:val="en-GB"/>
        </w:rPr>
        <w:t xml:space="preserve"> the industrial complexity that </w:t>
      </w:r>
      <w:r w:rsidR="004C6973">
        <w:rPr>
          <w:lang w:val="en-GB"/>
        </w:rPr>
        <w:t>characterises</w:t>
      </w:r>
      <w:r w:rsidRPr="00DC049B">
        <w:rPr>
          <w:lang w:val="en-GB"/>
        </w:rPr>
        <w:t xml:space="preserve"> Iplom S.p.A. (multiple sites, complex industrial processes, </w:t>
      </w:r>
      <w:r w:rsidR="0008484A" w:rsidRPr="00DC049B">
        <w:rPr>
          <w:lang w:val="en-GB"/>
        </w:rPr>
        <w:t>plants</w:t>
      </w:r>
      <w:r w:rsidRPr="00DC049B">
        <w:rPr>
          <w:lang w:val="en-GB"/>
        </w:rPr>
        <w:t xml:space="preserve"> in different territorial contexts)</w:t>
      </w:r>
      <w:r w:rsidR="0008484A" w:rsidRPr="00DC049B">
        <w:rPr>
          <w:lang w:val="en-GB"/>
        </w:rPr>
        <w:t xml:space="preserve"> and</w:t>
      </w:r>
      <w:r w:rsidRPr="00DC049B">
        <w:rPr>
          <w:lang w:val="en-GB"/>
        </w:rPr>
        <w:t xml:space="preserve"> emerging risks, it </w:t>
      </w:r>
      <w:r w:rsidR="0008484A" w:rsidRPr="00DC049B">
        <w:rPr>
          <w:lang w:val="en-GB"/>
        </w:rPr>
        <w:t>is</w:t>
      </w:r>
      <w:r w:rsidRPr="00DC049B">
        <w:rPr>
          <w:lang w:val="en-GB"/>
        </w:rPr>
        <w:t xml:space="preserve"> proposed to </w:t>
      </w:r>
      <w:r w:rsidR="00654097">
        <w:rPr>
          <w:lang w:val="en-GB"/>
        </w:rPr>
        <w:t>summarise</w:t>
      </w:r>
      <w:r w:rsidRPr="00DC049B">
        <w:rPr>
          <w:lang w:val="en-GB"/>
        </w:rPr>
        <w:t xml:space="preserve"> the salient risk management information according to a "</w:t>
      </w:r>
      <w:r w:rsidR="0008484A" w:rsidRPr="00DC049B">
        <w:rPr>
          <w:lang w:val="en-GB"/>
        </w:rPr>
        <w:t>S</w:t>
      </w:r>
      <w:r w:rsidRPr="00DC049B">
        <w:rPr>
          <w:lang w:val="en-GB"/>
        </w:rPr>
        <w:t xml:space="preserve">afety </w:t>
      </w:r>
      <w:r w:rsidR="0008484A" w:rsidRPr="00DC049B">
        <w:rPr>
          <w:lang w:val="en-GB"/>
        </w:rPr>
        <w:t>C</w:t>
      </w:r>
      <w:r w:rsidRPr="00DC049B">
        <w:rPr>
          <w:lang w:val="en-GB"/>
        </w:rPr>
        <w:t xml:space="preserve">ase" approach, also leveraging the CAE or GSN notation and the Bow -Tie. This information can be </w:t>
      </w:r>
      <w:r w:rsidR="004C6973">
        <w:rPr>
          <w:lang w:val="en-GB"/>
        </w:rPr>
        <w:t>summarised</w:t>
      </w:r>
      <w:r w:rsidRPr="00DC049B">
        <w:rPr>
          <w:lang w:val="en-GB"/>
        </w:rPr>
        <w:t xml:space="preserve"> in an executive summary,</w:t>
      </w:r>
      <w:r w:rsidR="00C73D33" w:rsidRPr="00DC049B">
        <w:rPr>
          <w:lang w:val="en-GB"/>
        </w:rPr>
        <w:t xml:space="preserve"> to be delivered in electronic format (i.e. an E-Safety Case</w:t>
      </w:r>
      <w:r w:rsidR="000B350B" w:rsidRPr="00DC049B">
        <w:rPr>
          <w:lang w:val="en-GB"/>
        </w:rPr>
        <w:t>, see Figure 4</w:t>
      </w:r>
      <w:r w:rsidR="00C73D33" w:rsidRPr="00DC049B">
        <w:rPr>
          <w:lang w:val="en-GB"/>
        </w:rPr>
        <w:t>)</w:t>
      </w:r>
      <w:r w:rsidR="00654097">
        <w:rPr>
          <w:lang w:val="en-GB"/>
        </w:rPr>
        <w:t>,</w:t>
      </w:r>
      <w:r w:rsidRPr="00DC049B">
        <w:rPr>
          <w:lang w:val="en-GB"/>
        </w:rPr>
        <w:t xml:space="preserve"> of which a possible table of contents </w:t>
      </w:r>
      <w:r w:rsidR="000977D3" w:rsidRPr="00DC049B">
        <w:rPr>
          <w:lang w:val="en-GB"/>
        </w:rPr>
        <w:t>(</w:t>
      </w:r>
      <w:r w:rsidR="007F2B4B" w:rsidRPr="00DC049B">
        <w:rPr>
          <w:lang w:val="en-GB"/>
        </w:rPr>
        <w:t xml:space="preserve">see </w:t>
      </w:r>
      <w:r w:rsidR="000977D3" w:rsidRPr="00DC049B">
        <w:rPr>
          <w:lang w:val="en-GB"/>
        </w:rPr>
        <w:t xml:space="preserve">Table 1) </w:t>
      </w:r>
      <w:r w:rsidRPr="00DC049B">
        <w:rPr>
          <w:lang w:val="en-GB"/>
        </w:rPr>
        <w:t>is proposed:</w:t>
      </w:r>
    </w:p>
    <w:p w14:paraId="1536702A" w14:textId="4BF456F3" w:rsidR="00BE241E" w:rsidRPr="00DC049B" w:rsidRDefault="007F2B4B" w:rsidP="007F2B4B">
      <w:pPr>
        <w:pStyle w:val="CETTabletitle"/>
      </w:pPr>
      <w:r w:rsidRPr="00DC049B">
        <w:lastRenderedPageBreak/>
        <w:t>Table 1 Outline</w:t>
      </w:r>
      <w:r w:rsidR="003305E5" w:rsidRPr="00DC049B">
        <w:t xml:space="preserve"> of the proposed Safety Case as Executive Summary of the Seveso Safety Report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79"/>
        <w:gridCol w:w="1315"/>
        <w:gridCol w:w="6093"/>
      </w:tblGrid>
      <w:tr w:rsidR="000977D3" w:rsidRPr="00DC049B" w14:paraId="0D18C5CC" w14:textId="77777777" w:rsidTr="000977D3">
        <w:tc>
          <w:tcPr>
            <w:tcW w:w="785" w:type="pct"/>
            <w:tcBorders>
              <w:top w:val="single" w:sz="12" w:space="0" w:color="008000"/>
              <w:bottom w:val="single" w:sz="6" w:space="0" w:color="008000"/>
            </w:tcBorders>
            <w:shd w:val="clear" w:color="auto" w:fill="FFFFFF"/>
          </w:tcPr>
          <w:p w14:paraId="0C8D767B" w14:textId="545F9048" w:rsidR="000977D3" w:rsidRPr="00DC049B" w:rsidRDefault="000977D3" w:rsidP="000337ED">
            <w:pPr>
              <w:pStyle w:val="CETBodytext"/>
              <w:rPr>
                <w:rFonts w:cs="Arial"/>
                <w:sz w:val="16"/>
                <w:szCs w:val="16"/>
                <w:lang w:val="en-GB"/>
              </w:rPr>
            </w:pPr>
            <w:r w:rsidRPr="00DC049B">
              <w:rPr>
                <w:rFonts w:cs="Arial"/>
                <w:sz w:val="16"/>
                <w:szCs w:val="16"/>
                <w:lang w:val="en-GB"/>
              </w:rPr>
              <w:t>Section</w:t>
            </w:r>
          </w:p>
        </w:tc>
        <w:tc>
          <w:tcPr>
            <w:tcW w:w="748" w:type="pct"/>
            <w:tcBorders>
              <w:top w:val="single" w:sz="12" w:space="0" w:color="008000"/>
              <w:bottom w:val="single" w:sz="6" w:space="0" w:color="008000"/>
            </w:tcBorders>
            <w:shd w:val="clear" w:color="auto" w:fill="FFFFFF"/>
          </w:tcPr>
          <w:p w14:paraId="2A0710CC" w14:textId="3A2E494F" w:rsidR="000977D3" w:rsidRPr="00DC049B" w:rsidRDefault="000977D3" w:rsidP="000337ED">
            <w:pPr>
              <w:pStyle w:val="CETBodytext"/>
              <w:rPr>
                <w:rFonts w:cs="Arial"/>
                <w:sz w:val="16"/>
                <w:szCs w:val="16"/>
                <w:lang w:val="en-GB"/>
              </w:rPr>
            </w:pPr>
            <w:r w:rsidRPr="00DC049B">
              <w:rPr>
                <w:rFonts w:cs="Arial"/>
                <w:sz w:val="16"/>
                <w:szCs w:val="16"/>
                <w:lang w:val="en-GB"/>
              </w:rPr>
              <w:t>Chapter</w:t>
            </w:r>
          </w:p>
        </w:tc>
        <w:tc>
          <w:tcPr>
            <w:tcW w:w="3467" w:type="pct"/>
            <w:tcBorders>
              <w:top w:val="single" w:sz="12" w:space="0" w:color="008000"/>
              <w:bottom w:val="single" w:sz="6" w:space="0" w:color="008000"/>
            </w:tcBorders>
            <w:shd w:val="clear" w:color="auto" w:fill="FFFFFF"/>
          </w:tcPr>
          <w:p w14:paraId="6C1C19DB" w14:textId="3D306E00" w:rsidR="000977D3" w:rsidRPr="00DC049B" w:rsidRDefault="000977D3" w:rsidP="000337ED">
            <w:pPr>
              <w:pStyle w:val="CETBodytext"/>
              <w:ind w:right="-1"/>
              <w:rPr>
                <w:rFonts w:cs="Arial"/>
                <w:sz w:val="16"/>
                <w:szCs w:val="16"/>
                <w:lang w:val="en-GB"/>
              </w:rPr>
            </w:pPr>
            <w:r w:rsidRPr="00DC049B">
              <w:rPr>
                <w:rFonts w:cs="Arial"/>
                <w:sz w:val="16"/>
                <w:szCs w:val="16"/>
                <w:lang w:val="en-GB"/>
              </w:rPr>
              <w:t>Summary</w:t>
            </w:r>
          </w:p>
        </w:tc>
      </w:tr>
      <w:tr w:rsidR="000977D3" w:rsidRPr="00DC049B" w14:paraId="394B83F0" w14:textId="77777777" w:rsidTr="000977D3">
        <w:tc>
          <w:tcPr>
            <w:tcW w:w="785" w:type="pct"/>
            <w:shd w:val="clear" w:color="auto" w:fill="FFFFFF"/>
          </w:tcPr>
          <w:p w14:paraId="0A68D17E" w14:textId="58C3378A" w:rsidR="000977D3" w:rsidRPr="00DC049B" w:rsidRDefault="000977D3" w:rsidP="000337ED">
            <w:pPr>
              <w:pStyle w:val="CETBodytext"/>
              <w:rPr>
                <w:rFonts w:cs="Arial"/>
                <w:sz w:val="16"/>
                <w:szCs w:val="16"/>
                <w:lang w:val="en-GB"/>
              </w:rPr>
            </w:pPr>
            <w:r w:rsidRPr="00DC049B">
              <w:rPr>
                <w:rFonts w:cs="Arial"/>
                <w:sz w:val="16"/>
                <w:szCs w:val="16"/>
                <w:lang w:val="en-GB"/>
              </w:rPr>
              <w:t>INTRODUCTION</w:t>
            </w:r>
          </w:p>
        </w:tc>
        <w:tc>
          <w:tcPr>
            <w:tcW w:w="748" w:type="pct"/>
            <w:shd w:val="clear" w:color="auto" w:fill="FFFFFF"/>
          </w:tcPr>
          <w:p w14:paraId="25C7A616" w14:textId="09408610" w:rsidR="000977D3" w:rsidRPr="00DC049B" w:rsidRDefault="000977D3" w:rsidP="000337ED">
            <w:pPr>
              <w:pStyle w:val="CETBodytext"/>
              <w:rPr>
                <w:rFonts w:cs="Arial"/>
                <w:sz w:val="16"/>
                <w:szCs w:val="16"/>
                <w:lang w:val="en-GB"/>
              </w:rPr>
            </w:pPr>
            <w:r w:rsidRPr="00DC049B">
              <w:rPr>
                <w:rFonts w:cs="Arial"/>
                <w:bCs/>
                <w:sz w:val="16"/>
                <w:szCs w:val="16"/>
                <w:lang w:val="en-GB"/>
              </w:rPr>
              <w:t>--</w:t>
            </w:r>
          </w:p>
        </w:tc>
        <w:tc>
          <w:tcPr>
            <w:tcW w:w="3467" w:type="pct"/>
            <w:shd w:val="clear" w:color="auto" w:fill="FFFFFF"/>
          </w:tcPr>
          <w:p w14:paraId="4ECA9690" w14:textId="77777777" w:rsidR="000977D3" w:rsidRPr="00DC049B" w:rsidRDefault="000977D3" w:rsidP="000977D3">
            <w:pPr>
              <w:rPr>
                <w:rFonts w:cs="Arial"/>
                <w:sz w:val="16"/>
                <w:szCs w:val="16"/>
              </w:rPr>
            </w:pPr>
            <w:r w:rsidRPr="00DC049B">
              <w:rPr>
                <w:rFonts w:cs="Arial"/>
                <w:sz w:val="16"/>
                <w:szCs w:val="16"/>
              </w:rPr>
              <w:t>This section defines:</w:t>
            </w:r>
          </w:p>
          <w:p w14:paraId="4CFEF0B9" w14:textId="77777777" w:rsidR="000977D3" w:rsidRPr="00DC049B" w:rsidRDefault="000977D3" w:rsidP="000977D3">
            <w:pPr>
              <w:pStyle w:val="Paragrafoelenco"/>
              <w:numPr>
                <w:ilvl w:val="0"/>
                <w:numId w:val="27"/>
              </w:numPr>
              <w:tabs>
                <w:tab w:val="clear" w:pos="7100"/>
              </w:tabs>
              <w:spacing w:line="240" w:lineRule="auto"/>
              <w:ind w:left="177" w:hanging="177"/>
              <w:rPr>
                <w:rFonts w:cs="Arial"/>
                <w:sz w:val="16"/>
                <w:szCs w:val="16"/>
              </w:rPr>
            </w:pPr>
            <w:r w:rsidRPr="00DC049B">
              <w:rPr>
                <w:rFonts w:cs="Arial"/>
                <w:sz w:val="16"/>
                <w:szCs w:val="16"/>
              </w:rPr>
              <w:t>Scope;</w:t>
            </w:r>
          </w:p>
          <w:p w14:paraId="6B65BDF3" w14:textId="77777777" w:rsidR="000977D3" w:rsidRPr="00DC049B" w:rsidRDefault="000977D3" w:rsidP="000977D3">
            <w:pPr>
              <w:pStyle w:val="Paragrafoelenco"/>
              <w:numPr>
                <w:ilvl w:val="0"/>
                <w:numId w:val="27"/>
              </w:numPr>
              <w:tabs>
                <w:tab w:val="clear" w:pos="7100"/>
              </w:tabs>
              <w:spacing w:line="240" w:lineRule="auto"/>
              <w:ind w:left="177" w:hanging="177"/>
              <w:rPr>
                <w:rFonts w:cs="Arial"/>
                <w:sz w:val="16"/>
                <w:szCs w:val="16"/>
              </w:rPr>
            </w:pPr>
            <w:r w:rsidRPr="00DC049B">
              <w:rPr>
                <w:rFonts w:cs="Arial"/>
                <w:sz w:val="16"/>
                <w:szCs w:val="16"/>
              </w:rPr>
              <w:t>Context</w:t>
            </w:r>
          </w:p>
          <w:p w14:paraId="3934FDD3" w14:textId="77777777" w:rsidR="000977D3" w:rsidRPr="00DC049B" w:rsidRDefault="000977D3" w:rsidP="000977D3">
            <w:pPr>
              <w:pStyle w:val="Paragrafoelenco"/>
              <w:numPr>
                <w:ilvl w:val="0"/>
                <w:numId w:val="27"/>
              </w:numPr>
              <w:tabs>
                <w:tab w:val="clear" w:pos="7100"/>
              </w:tabs>
              <w:spacing w:line="240" w:lineRule="auto"/>
              <w:ind w:left="177" w:hanging="177"/>
              <w:rPr>
                <w:rFonts w:cs="Arial"/>
                <w:sz w:val="16"/>
                <w:szCs w:val="16"/>
              </w:rPr>
            </w:pPr>
            <w:r w:rsidRPr="00DC049B">
              <w:rPr>
                <w:rFonts w:cs="Arial"/>
                <w:sz w:val="16"/>
                <w:szCs w:val="16"/>
              </w:rPr>
              <w:t>Structure outline and demonstration of the logical flow.</w:t>
            </w:r>
          </w:p>
          <w:p w14:paraId="5D7E905D" w14:textId="77777777" w:rsidR="000977D3" w:rsidRPr="00DC049B" w:rsidRDefault="000977D3" w:rsidP="007F2B4B">
            <w:pPr>
              <w:pStyle w:val="Paragrafoelenco"/>
              <w:numPr>
                <w:ilvl w:val="0"/>
                <w:numId w:val="27"/>
              </w:numPr>
              <w:tabs>
                <w:tab w:val="clear" w:pos="7100"/>
              </w:tabs>
              <w:spacing w:line="240" w:lineRule="auto"/>
              <w:ind w:left="177" w:hanging="177"/>
              <w:rPr>
                <w:rFonts w:cs="Arial"/>
                <w:sz w:val="16"/>
                <w:szCs w:val="16"/>
              </w:rPr>
            </w:pPr>
            <w:r w:rsidRPr="00DC049B">
              <w:rPr>
                <w:rFonts w:cs="Arial"/>
                <w:sz w:val="16"/>
                <w:szCs w:val="16"/>
              </w:rPr>
              <w:t>Justification of the selected level of detail considering the extent of potential risks and the complexity of the activity and installation/process/system involved.</w:t>
            </w:r>
          </w:p>
          <w:p w14:paraId="773B4ED0" w14:textId="009565B5" w:rsidR="003305E5" w:rsidRPr="00DC049B" w:rsidRDefault="003305E5" w:rsidP="003305E5">
            <w:pPr>
              <w:pStyle w:val="Paragrafoelenco"/>
              <w:tabs>
                <w:tab w:val="clear" w:pos="7100"/>
              </w:tabs>
              <w:spacing w:line="240" w:lineRule="auto"/>
              <w:ind w:left="177"/>
              <w:rPr>
                <w:rFonts w:cs="Arial"/>
                <w:sz w:val="16"/>
                <w:szCs w:val="16"/>
              </w:rPr>
            </w:pPr>
          </w:p>
        </w:tc>
      </w:tr>
      <w:tr w:rsidR="000977D3" w:rsidRPr="00DC049B" w14:paraId="5F2524F1" w14:textId="77777777" w:rsidTr="000977D3">
        <w:tc>
          <w:tcPr>
            <w:tcW w:w="785" w:type="pct"/>
            <w:shd w:val="clear" w:color="auto" w:fill="FFFFFF"/>
          </w:tcPr>
          <w:p w14:paraId="183778A8" w14:textId="08BDB601" w:rsidR="000977D3" w:rsidRPr="00DC049B" w:rsidRDefault="000977D3" w:rsidP="000977D3">
            <w:pPr>
              <w:pStyle w:val="CETBodytext"/>
              <w:rPr>
                <w:rFonts w:cs="Arial"/>
                <w:sz w:val="16"/>
                <w:szCs w:val="16"/>
                <w:lang w:val="en-GB"/>
              </w:rPr>
            </w:pPr>
            <w:r w:rsidRPr="00DC049B">
              <w:rPr>
                <w:rFonts w:cs="Arial"/>
                <w:bCs/>
                <w:sz w:val="16"/>
                <w:szCs w:val="16"/>
                <w:lang w:val="en-GB"/>
              </w:rPr>
              <w:t>FACILITY</w:t>
            </w:r>
          </w:p>
        </w:tc>
        <w:tc>
          <w:tcPr>
            <w:tcW w:w="748" w:type="pct"/>
            <w:shd w:val="clear" w:color="auto" w:fill="FFFFFF"/>
          </w:tcPr>
          <w:p w14:paraId="231C7882" w14:textId="38ABC5BB" w:rsidR="000977D3" w:rsidRPr="00DC049B" w:rsidRDefault="00CA46BE" w:rsidP="000977D3">
            <w:pPr>
              <w:pStyle w:val="CETBodytext"/>
              <w:rPr>
                <w:rFonts w:cs="Arial"/>
                <w:bCs/>
                <w:sz w:val="16"/>
                <w:szCs w:val="16"/>
                <w:lang w:val="en-GB"/>
              </w:rPr>
            </w:pPr>
            <w:r w:rsidRPr="00DC049B">
              <w:rPr>
                <w:rFonts w:cs="Arial"/>
                <w:bCs/>
                <w:sz w:val="16"/>
                <w:szCs w:val="16"/>
                <w:lang w:val="en-GB"/>
              </w:rPr>
              <w:t>Description</w:t>
            </w:r>
          </w:p>
        </w:tc>
        <w:tc>
          <w:tcPr>
            <w:tcW w:w="3467" w:type="pct"/>
            <w:vMerge w:val="restart"/>
            <w:shd w:val="clear" w:color="auto" w:fill="FFFFFF"/>
          </w:tcPr>
          <w:p w14:paraId="3AA64FC8" w14:textId="4B158791" w:rsidR="000977D3" w:rsidRPr="00DC049B" w:rsidRDefault="000977D3" w:rsidP="000977D3">
            <w:pPr>
              <w:rPr>
                <w:rFonts w:cs="Arial"/>
                <w:sz w:val="16"/>
                <w:szCs w:val="16"/>
              </w:rPr>
            </w:pPr>
            <w:r w:rsidRPr="00DC049B">
              <w:rPr>
                <w:rFonts w:cs="Arial"/>
                <w:sz w:val="16"/>
                <w:szCs w:val="16"/>
              </w:rPr>
              <w:t xml:space="preserve">This section should describe the facility </w:t>
            </w:r>
            <w:r w:rsidR="004C6973">
              <w:rPr>
                <w:rFonts w:cs="Arial"/>
                <w:sz w:val="16"/>
                <w:szCs w:val="16"/>
              </w:rPr>
              <w:t>and</w:t>
            </w:r>
            <w:r w:rsidRPr="00DC049B">
              <w:rPr>
                <w:rFonts w:cs="Arial"/>
                <w:sz w:val="16"/>
                <w:szCs w:val="16"/>
              </w:rPr>
              <w:t xml:space="preserve"> its operation. </w:t>
            </w:r>
            <w:r w:rsidR="0080529C" w:rsidRPr="00DC049B">
              <w:rPr>
                <w:rFonts w:cs="Arial"/>
                <w:sz w:val="16"/>
                <w:szCs w:val="16"/>
              </w:rPr>
              <w:t>The facility</w:t>
            </w:r>
            <w:r w:rsidRPr="00DC049B">
              <w:rPr>
                <w:rFonts w:cs="Arial"/>
                <w:sz w:val="16"/>
                <w:szCs w:val="16"/>
              </w:rPr>
              <w:t xml:space="preserve"> includes </w:t>
            </w:r>
            <w:r w:rsidR="00654097">
              <w:rPr>
                <w:rFonts w:cs="Arial"/>
                <w:sz w:val="16"/>
                <w:szCs w:val="16"/>
              </w:rPr>
              <w:t>the r</w:t>
            </w:r>
            <w:r w:rsidR="003305E5" w:rsidRPr="00DC049B">
              <w:rPr>
                <w:rFonts w:cs="Arial"/>
                <w:sz w:val="16"/>
                <w:szCs w:val="16"/>
              </w:rPr>
              <w:t xml:space="preserve">efinery, </w:t>
            </w:r>
            <w:r w:rsidR="0080529C" w:rsidRPr="00DC049B">
              <w:rPr>
                <w:rFonts w:cs="Arial"/>
                <w:sz w:val="16"/>
                <w:szCs w:val="16"/>
              </w:rPr>
              <w:t>tank farms</w:t>
            </w:r>
            <w:r w:rsidR="003305E5" w:rsidRPr="00DC049B">
              <w:rPr>
                <w:rFonts w:cs="Arial"/>
                <w:sz w:val="16"/>
                <w:szCs w:val="16"/>
              </w:rPr>
              <w:t xml:space="preserve">, pipelines, </w:t>
            </w:r>
            <w:r w:rsidR="0080529C" w:rsidRPr="00DC049B">
              <w:rPr>
                <w:rFonts w:cs="Arial"/>
                <w:sz w:val="16"/>
                <w:szCs w:val="16"/>
              </w:rPr>
              <w:t xml:space="preserve">and </w:t>
            </w:r>
            <w:r w:rsidR="003305E5" w:rsidRPr="00DC049B">
              <w:rPr>
                <w:rFonts w:cs="Arial"/>
                <w:sz w:val="16"/>
                <w:szCs w:val="16"/>
              </w:rPr>
              <w:t>loading/unloading facilities in port</w:t>
            </w:r>
            <w:r w:rsidRPr="00DC049B">
              <w:rPr>
                <w:rFonts w:cs="Arial"/>
                <w:sz w:val="16"/>
                <w:szCs w:val="16"/>
              </w:rPr>
              <w:t xml:space="preserve">. It defines position and layout, </w:t>
            </w:r>
            <w:r w:rsidR="00B723A1">
              <w:rPr>
                <w:rFonts w:cs="Arial"/>
                <w:sz w:val="16"/>
                <w:szCs w:val="16"/>
              </w:rPr>
              <w:t>as well as</w:t>
            </w:r>
            <w:r w:rsidR="0080529C" w:rsidRPr="00DC049B">
              <w:rPr>
                <w:rFonts w:cs="Arial"/>
                <w:sz w:val="16"/>
                <w:szCs w:val="16"/>
              </w:rPr>
              <w:t xml:space="preserve"> location-specific</w:t>
            </w:r>
            <w:r w:rsidRPr="00DC049B">
              <w:rPr>
                <w:rFonts w:cs="Arial"/>
                <w:sz w:val="16"/>
                <w:szCs w:val="16"/>
              </w:rPr>
              <w:t xml:space="preserve"> conditions. </w:t>
            </w:r>
            <w:r w:rsidR="0080529C" w:rsidRPr="00DC049B">
              <w:rPr>
                <w:rFonts w:cs="Arial"/>
                <w:sz w:val="16"/>
                <w:szCs w:val="16"/>
              </w:rPr>
              <w:t>The operation</w:t>
            </w:r>
            <w:r w:rsidRPr="00DC049B">
              <w:rPr>
                <w:rFonts w:cs="Arial"/>
                <w:sz w:val="16"/>
                <w:szCs w:val="16"/>
              </w:rPr>
              <w:t xml:space="preserve"> should describe the activity in the scope of the </w:t>
            </w:r>
            <w:r w:rsidR="003F3512" w:rsidRPr="00DC049B">
              <w:rPr>
                <w:rFonts w:cs="Arial"/>
                <w:sz w:val="16"/>
                <w:szCs w:val="16"/>
              </w:rPr>
              <w:t>Safety Case</w:t>
            </w:r>
            <w:r w:rsidR="00654097">
              <w:rPr>
                <w:rFonts w:cs="Arial"/>
                <w:sz w:val="16"/>
                <w:szCs w:val="16"/>
              </w:rPr>
              <w:t>,</w:t>
            </w:r>
            <w:r w:rsidRPr="00DC049B">
              <w:rPr>
                <w:rFonts w:cs="Arial"/>
                <w:sz w:val="16"/>
                <w:szCs w:val="16"/>
              </w:rPr>
              <w:t xml:space="preserve"> including utility systems, personnel transportation, personnel welfare, logistics, diving operations, marine operations, </w:t>
            </w:r>
            <w:r w:rsidR="0080529C" w:rsidRPr="00DC049B">
              <w:rPr>
                <w:rFonts w:cs="Arial"/>
                <w:sz w:val="16"/>
                <w:szCs w:val="16"/>
              </w:rPr>
              <w:t xml:space="preserve">and </w:t>
            </w:r>
            <w:r w:rsidRPr="00DC049B">
              <w:rPr>
                <w:rFonts w:cs="Arial"/>
                <w:sz w:val="16"/>
                <w:szCs w:val="16"/>
              </w:rPr>
              <w:t xml:space="preserve">special operations. Maintenance and service activities are described in </w:t>
            </w:r>
            <w:r w:rsidR="0080529C" w:rsidRPr="00DC049B">
              <w:rPr>
                <w:rFonts w:cs="Arial"/>
                <w:sz w:val="16"/>
                <w:szCs w:val="16"/>
              </w:rPr>
              <w:t xml:space="preserve">the </w:t>
            </w:r>
            <w:r w:rsidRPr="00DC049B">
              <w:rPr>
                <w:rFonts w:cs="Arial"/>
                <w:sz w:val="16"/>
                <w:szCs w:val="16"/>
              </w:rPr>
              <w:t>HSE</w:t>
            </w:r>
            <w:r w:rsidR="003305E5" w:rsidRPr="00DC049B">
              <w:rPr>
                <w:rFonts w:cs="Arial"/>
                <w:sz w:val="16"/>
                <w:szCs w:val="16"/>
              </w:rPr>
              <w:t>/Seveso</w:t>
            </w:r>
            <w:r w:rsidRPr="00DC049B">
              <w:rPr>
                <w:rFonts w:cs="Arial"/>
                <w:sz w:val="16"/>
                <w:szCs w:val="16"/>
              </w:rPr>
              <w:t xml:space="preserve"> management system section.</w:t>
            </w:r>
          </w:p>
          <w:p w14:paraId="1647E4E7" w14:textId="7D417238" w:rsidR="003305E5" w:rsidRPr="00DC049B" w:rsidRDefault="003305E5" w:rsidP="000977D3">
            <w:pPr>
              <w:rPr>
                <w:rFonts w:cs="Arial"/>
                <w:sz w:val="16"/>
                <w:szCs w:val="16"/>
              </w:rPr>
            </w:pPr>
          </w:p>
        </w:tc>
      </w:tr>
      <w:tr w:rsidR="000977D3" w:rsidRPr="00DC049B" w14:paraId="7CDEBC5F" w14:textId="77777777" w:rsidTr="000977D3">
        <w:tc>
          <w:tcPr>
            <w:tcW w:w="785" w:type="pct"/>
            <w:shd w:val="clear" w:color="auto" w:fill="FFFFFF"/>
          </w:tcPr>
          <w:p w14:paraId="6892AC15" w14:textId="77777777" w:rsidR="000977D3" w:rsidRPr="00DC049B" w:rsidRDefault="000977D3" w:rsidP="000977D3">
            <w:pPr>
              <w:pStyle w:val="CETBodytext"/>
              <w:rPr>
                <w:rFonts w:cs="Arial"/>
                <w:sz w:val="16"/>
                <w:szCs w:val="16"/>
                <w:lang w:val="en-GB"/>
              </w:rPr>
            </w:pPr>
          </w:p>
        </w:tc>
        <w:tc>
          <w:tcPr>
            <w:tcW w:w="748" w:type="pct"/>
            <w:shd w:val="clear" w:color="auto" w:fill="FFFFFF"/>
          </w:tcPr>
          <w:p w14:paraId="5DE09EE8" w14:textId="53BCD57D" w:rsidR="000977D3" w:rsidRPr="00DC049B" w:rsidRDefault="00CA46BE" w:rsidP="000977D3">
            <w:pPr>
              <w:pStyle w:val="CETBodytext"/>
              <w:rPr>
                <w:rFonts w:cs="Arial"/>
                <w:bCs/>
                <w:sz w:val="16"/>
                <w:szCs w:val="16"/>
                <w:lang w:val="en-GB"/>
              </w:rPr>
            </w:pPr>
            <w:r w:rsidRPr="00DC049B">
              <w:rPr>
                <w:rFonts w:cs="Arial"/>
                <w:bCs/>
                <w:sz w:val="16"/>
                <w:szCs w:val="16"/>
                <w:lang w:val="en-GB"/>
              </w:rPr>
              <w:t>Operation</w:t>
            </w:r>
          </w:p>
        </w:tc>
        <w:tc>
          <w:tcPr>
            <w:tcW w:w="3467" w:type="pct"/>
            <w:vMerge/>
            <w:shd w:val="clear" w:color="auto" w:fill="FFFFFF"/>
          </w:tcPr>
          <w:p w14:paraId="0D3D1F19" w14:textId="77777777" w:rsidR="000977D3" w:rsidRPr="00DC049B" w:rsidRDefault="000977D3" w:rsidP="000977D3">
            <w:pPr>
              <w:rPr>
                <w:rFonts w:cs="Arial"/>
                <w:sz w:val="16"/>
                <w:szCs w:val="16"/>
              </w:rPr>
            </w:pPr>
          </w:p>
        </w:tc>
      </w:tr>
      <w:tr w:rsidR="000977D3" w:rsidRPr="00DC049B" w14:paraId="6BEF2519" w14:textId="77777777" w:rsidTr="000977D3">
        <w:tc>
          <w:tcPr>
            <w:tcW w:w="785" w:type="pct"/>
            <w:shd w:val="clear" w:color="auto" w:fill="FFFFFF"/>
          </w:tcPr>
          <w:p w14:paraId="260454FC" w14:textId="77777777" w:rsidR="000977D3" w:rsidRPr="00DC049B" w:rsidRDefault="000977D3" w:rsidP="000977D3">
            <w:pPr>
              <w:pStyle w:val="CETBodytext"/>
              <w:rPr>
                <w:rFonts w:cs="Arial"/>
                <w:sz w:val="16"/>
                <w:szCs w:val="16"/>
                <w:lang w:val="en-GB"/>
              </w:rPr>
            </w:pPr>
          </w:p>
        </w:tc>
        <w:tc>
          <w:tcPr>
            <w:tcW w:w="748" w:type="pct"/>
            <w:shd w:val="clear" w:color="auto" w:fill="FFFFFF"/>
          </w:tcPr>
          <w:p w14:paraId="0F3D1A32" w14:textId="3C4E0319" w:rsidR="000977D3" w:rsidRPr="00DC049B" w:rsidRDefault="00CA46BE" w:rsidP="000977D3">
            <w:pPr>
              <w:pStyle w:val="CETBodytext"/>
              <w:rPr>
                <w:rFonts w:cs="Arial"/>
                <w:bCs/>
                <w:sz w:val="16"/>
                <w:szCs w:val="16"/>
                <w:lang w:val="en-GB"/>
              </w:rPr>
            </w:pPr>
            <w:r w:rsidRPr="00DC049B">
              <w:rPr>
                <w:rFonts w:cs="Arial"/>
                <w:bCs/>
                <w:sz w:val="16"/>
                <w:szCs w:val="16"/>
                <w:lang w:val="en-GB"/>
              </w:rPr>
              <w:t>Environment</w:t>
            </w:r>
          </w:p>
        </w:tc>
        <w:tc>
          <w:tcPr>
            <w:tcW w:w="3467" w:type="pct"/>
            <w:vMerge/>
            <w:shd w:val="clear" w:color="auto" w:fill="FFFFFF"/>
          </w:tcPr>
          <w:p w14:paraId="3622B10E" w14:textId="77777777" w:rsidR="000977D3" w:rsidRPr="00DC049B" w:rsidRDefault="000977D3" w:rsidP="000977D3">
            <w:pPr>
              <w:rPr>
                <w:rFonts w:cs="Arial"/>
                <w:sz w:val="16"/>
                <w:szCs w:val="16"/>
              </w:rPr>
            </w:pPr>
          </w:p>
        </w:tc>
      </w:tr>
      <w:tr w:rsidR="000977D3" w:rsidRPr="00DC049B" w14:paraId="5D366095" w14:textId="77777777" w:rsidTr="000977D3">
        <w:tc>
          <w:tcPr>
            <w:tcW w:w="785" w:type="pct"/>
            <w:shd w:val="clear" w:color="auto" w:fill="FFFFFF"/>
          </w:tcPr>
          <w:p w14:paraId="607ADB9F" w14:textId="1ABDE3DE" w:rsidR="000977D3" w:rsidRPr="00DC049B" w:rsidRDefault="000977D3" w:rsidP="000977D3">
            <w:pPr>
              <w:pStyle w:val="CETBodytext"/>
              <w:rPr>
                <w:rFonts w:cs="Arial"/>
                <w:sz w:val="16"/>
                <w:szCs w:val="16"/>
                <w:lang w:val="en-GB"/>
              </w:rPr>
            </w:pPr>
            <w:r w:rsidRPr="00DC049B">
              <w:rPr>
                <w:rFonts w:cs="Arial"/>
                <w:bCs/>
                <w:sz w:val="16"/>
                <w:szCs w:val="16"/>
                <w:lang w:val="en-GB"/>
              </w:rPr>
              <w:t>HSE MANAGEMENT SYSTEM</w:t>
            </w:r>
            <w:r w:rsidR="004C6973">
              <w:rPr>
                <w:rFonts w:cs="Arial"/>
                <w:bCs/>
                <w:sz w:val="16"/>
                <w:szCs w:val="16"/>
                <w:lang w:val="en-GB"/>
              </w:rPr>
              <w:t xml:space="preserve"> (HSEMS)</w:t>
            </w:r>
          </w:p>
        </w:tc>
        <w:tc>
          <w:tcPr>
            <w:tcW w:w="748" w:type="pct"/>
            <w:shd w:val="clear" w:color="auto" w:fill="FFFFFF"/>
          </w:tcPr>
          <w:p w14:paraId="64483D6C" w14:textId="71428FDD" w:rsidR="000977D3" w:rsidRPr="00DC049B" w:rsidRDefault="00CA46BE" w:rsidP="000977D3">
            <w:pPr>
              <w:pStyle w:val="CETBodytext"/>
              <w:rPr>
                <w:rFonts w:cs="Arial"/>
                <w:bCs/>
                <w:sz w:val="16"/>
                <w:szCs w:val="16"/>
                <w:lang w:val="en-GB"/>
              </w:rPr>
            </w:pPr>
            <w:r w:rsidRPr="00DC049B">
              <w:rPr>
                <w:rFonts w:cs="Arial"/>
                <w:bCs/>
                <w:sz w:val="16"/>
                <w:szCs w:val="16"/>
                <w:lang w:val="en-GB"/>
              </w:rPr>
              <w:t>--</w:t>
            </w:r>
          </w:p>
        </w:tc>
        <w:tc>
          <w:tcPr>
            <w:tcW w:w="3467" w:type="pct"/>
            <w:shd w:val="clear" w:color="auto" w:fill="FFFFFF"/>
          </w:tcPr>
          <w:p w14:paraId="1C567893" w14:textId="53EB1549" w:rsidR="000977D3" w:rsidRPr="00DC049B" w:rsidRDefault="000977D3" w:rsidP="000977D3">
            <w:pPr>
              <w:rPr>
                <w:rFonts w:cs="Arial"/>
                <w:sz w:val="16"/>
                <w:szCs w:val="16"/>
              </w:rPr>
            </w:pPr>
            <w:r w:rsidRPr="00DC049B">
              <w:rPr>
                <w:rFonts w:cs="Arial"/>
                <w:sz w:val="16"/>
                <w:szCs w:val="16"/>
              </w:rPr>
              <w:t xml:space="preserve">This section will describe </w:t>
            </w:r>
            <w:r w:rsidR="00064985">
              <w:rPr>
                <w:rFonts w:cs="Arial"/>
                <w:sz w:val="16"/>
                <w:szCs w:val="16"/>
              </w:rPr>
              <w:t>each pillar's major aspects of the management system(s)</w:t>
            </w:r>
            <w:r w:rsidRPr="00DC049B">
              <w:rPr>
                <w:rFonts w:cs="Arial"/>
                <w:sz w:val="16"/>
                <w:szCs w:val="16"/>
              </w:rPr>
              <w:t>. HSE</w:t>
            </w:r>
            <w:r w:rsidR="004C6973">
              <w:rPr>
                <w:rFonts w:cs="Arial"/>
                <w:sz w:val="16"/>
                <w:szCs w:val="16"/>
              </w:rPr>
              <w:t xml:space="preserve">MS </w:t>
            </w:r>
            <w:r w:rsidR="003305E5" w:rsidRPr="00DC049B">
              <w:rPr>
                <w:rFonts w:cs="Arial"/>
                <w:sz w:val="16"/>
                <w:szCs w:val="16"/>
              </w:rPr>
              <w:t>(also Seveso management system)</w:t>
            </w:r>
            <w:r w:rsidRPr="00DC049B">
              <w:rPr>
                <w:rFonts w:cs="Arial"/>
                <w:sz w:val="16"/>
                <w:szCs w:val="16"/>
              </w:rPr>
              <w:t xml:space="preserve"> should include all the persons involved in the </w:t>
            </w:r>
            <w:r w:rsidR="003305E5" w:rsidRPr="00DC049B">
              <w:rPr>
                <w:rFonts w:cs="Arial"/>
                <w:sz w:val="16"/>
                <w:szCs w:val="16"/>
              </w:rPr>
              <w:t>Refinery/Tank Farms and Pipelines</w:t>
            </w:r>
            <w:r w:rsidRPr="00DC049B">
              <w:rPr>
                <w:rFonts w:cs="Arial"/>
                <w:sz w:val="16"/>
                <w:szCs w:val="16"/>
              </w:rPr>
              <w:t xml:space="preserve"> activity</w:t>
            </w:r>
            <w:r w:rsidR="00B723A1">
              <w:rPr>
                <w:rFonts w:cs="Arial"/>
                <w:sz w:val="16"/>
                <w:szCs w:val="16"/>
              </w:rPr>
              <w:t>,</w:t>
            </w:r>
            <w:r w:rsidRPr="00DC049B">
              <w:rPr>
                <w:rFonts w:cs="Arial"/>
                <w:sz w:val="16"/>
                <w:szCs w:val="16"/>
              </w:rPr>
              <w:t xml:space="preserve"> including managers, employees, operators, external contractors, </w:t>
            </w:r>
            <w:r w:rsidR="0080529C" w:rsidRPr="00DC049B">
              <w:rPr>
                <w:rFonts w:cs="Arial"/>
                <w:sz w:val="16"/>
                <w:szCs w:val="16"/>
              </w:rPr>
              <w:t xml:space="preserve">and </w:t>
            </w:r>
            <w:r w:rsidRPr="00DC049B">
              <w:rPr>
                <w:rFonts w:cs="Arial"/>
                <w:sz w:val="16"/>
                <w:szCs w:val="16"/>
              </w:rPr>
              <w:t>external support people (including emergency services, transportation services, etc.).</w:t>
            </w:r>
          </w:p>
          <w:p w14:paraId="42695032" w14:textId="0DF902FB" w:rsidR="003305E5" w:rsidRPr="00DC049B" w:rsidRDefault="003305E5" w:rsidP="000977D3">
            <w:pPr>
              <w:rPr>
                <w:rFonts w:cs="Arial"/>
                <w:sz w:val="16"/>
                <w:szCs w:val="16"/>
              </w:rPr>
            </w:pPr>
          </w:p>
        </w:tc>
      </w:tr>
      <w:tr w:rsidR="000977D3" w:rsidRPr="00DC049B" w14:paraId="065C9BC0" w14:textId="77777777" w:rsidTr="000977D3">
        <w:tc>
          <w:tcPr>
            <w:tcW w:w="785" w:type="pct"/>
            <w:shd w:val="clear" w:color="auto" w:fill="FFFFFF"/>
          </w:tcPr>
          <w:p w14:paraId="21116A20" w14:textId="55F4235D" w:rsidR="000977D3" w:rsidRPr="00DC049B" w:rsidRDefault="000977D3" w:rsidP="000977D3">
            <w:pPr>
              <w:pStyle w:val="CETBodytext"/>
              <w:ind w:right="-1"/>
              <w:rPr>
                <w:rFonts w:cs="Arial"/>
                <w:sz w:val="16"/>
                <w:szCs w:val="16"/>
                <w:lang w:val="en-GB"/>
              </w:rPr>
            </w:pPr>
            <w:r w:rsidRPr="00DC049B">
              <w:rPr>
                <w:rFonts w:cs="Arial"/>
                <w:bCs/>
                <w:sz w:val="16"/>
                <w:szCs w:val="16"/>
                <w:lang w:val="en-GB"/>
              </w:rPr>
              <w:t>RISK MANAGEMENT</w:t>
            </w:r>
          </w:p>
        </w:tc>
        <w:tc>
          <w:tcPr>
            <w:tcW w:w="748" w:type="pct"/>
            <w:shd w:val="clear" w:color="auto" w:fill="FFFFFF"/>
          </w:tcPr>
          <w:p w14:paraId="39F69003" w14:textId="60CB4794" w:rsidR="000977D3" w:rsidRPr="00DC049B" w:rsidRDefault="00CA46BE" w:rsidP="000977D3">
            <w:pPr>
              <w:rPr>
                <w:rFonts w:cs="Arial"/>
                <w:bCs/>
                <w:sz w:val="16"/>
                <w:szCs w:val="16"/>
              </w:rPr>
            </w:pPr>
            <w:r w:rsidRPr="00DC049B">
              <w:rPr>
                <w:rFonts w:cs="Arial"/>
                <w:bCs/>
                <w:sz w:val="16"/>
                <w:szCs w:val="16"/>
              </w:rPr>
              <w:t>Hazard Analysis</w:t>
            </w:r>
          </w:p>
          <w:p w14:paraId="7638FA4E" w14:textId="70451292" w:rsidR="000977D3" w:rsidRPr="00DC049B" w:rsidRDefault="00CA46BE" w:rsidP="00405FAD">
            <w:pPr>
              <w:pStyle w:val="CETBodytext"/>
              <w:ind w:right="-1"/>
              <w:jc w:val="left"/>
              <w:rPr>
                <w:rFonts w:cs="Arial"/>
                <w:sz w:val="16"/>
                <w:szCs w:val="16"/>
                <w:lang w:val="en-GB"/>
              </w:rPr>
            </w:pPr>
            <w:r w:rsidRPr="00DC049B">
              <w:rPr>
                <w:rFonts w:cs="Arial"/>
                <w:bCs/>
                <w:sz w:val="16"/>
                <w:szCs w:val="16"/>
                <w:lang w:val="en-GB"/>
              </w:rPr>
              <w:t>and Risk Identification</w:t>
            </w:r>
          </w:p>
        </w:tc>
        <w:tc>
          <w:tcPr>
            <w:tcW w:w="3467" w:type="pct"/>
            <w:shd w:val="clear" w:color="auto" w:fill="FFFFFF"/>
          </w:tcPr>
          <w:p w14:paraId="02E7816B" w14:textId="232389C9" w:rsidR="000977D3" w:rsidRPr="00DC049B" w:rsidRDefault="000977D3" w:rsidP="000977D3">
            <w:pPr>
              <w:pStyle w:val="CETBodytext"/>
              <w:ind w:right="-1"/>
              <w:rPr>
                <w:rFonts w:cs="Arial"/>
                <w:sz w:val="16"/>
                <w:szCs w:val="16"/>
                <w:lang w:val="en-GB"/>
              </w:rPr>
            </w:pPr>
            <w:r w:rsidRPr="00DC049B">
              <w:rPr>
                <w:rFonts w:cs="Arial"/>
                <w:sz w:val="16"/>
                <w:szCs w:val="16"/>
                <w:lang w:val="en-GB"/>
              </w:rPr>
              <w:t xml:space="preserve">Extensive hazard analysis should be included for both installation/commissioning and operation. Hazards should be identified as general hazards for the entire </w:t>
            </w:r>
            <w:r w:rsidR="0080529C" w:rsidRPr="00DC049B">
              <w:rPr>
                <w:rFonts w:cs="Arial"/>
                <w:sz w:val="16"/>
                <w:szCs w:val="16"/>
                <w:lang w:val="en-GB"/>
              </w:rPr>
              <w:t>facility</w:t>
            </w:r>
            <w:r w:rsidR="00B723A1">
              <w:rPr>
                <w:rFonts w:cs="Arial"/>
                <w:sz w:val="16"/>
                <w:szCs w:val="16"/>
                <w:lang w:val="en-GB"/>
              </w:rPr>
              <w:t>,</w:t>
            </w:r>
            <w:r w:rsidRPr="00DC049B">
              <w:rPr>
                <w:rFonts w:cs="Arial"/>
                <w:sz w:val="16"/>
                <w:szCs w:val="16"/>
                <w:lang w:val="en-GB"/>
              </w:rPr>
              <w:t xml:space="preserve"> including external factors) or hazards specific to a part of the facility.</w:t>
            </w:r>
          </w:p>
        </w:tc>
      </w:tr>
      <w:tr w:rsidR="000977D3" w:rsidRPr="00DC049B" w14:paraId="31826F3B" w14:textId="77777777" w:rsidTr="000977D3">
        <w:tc>
          <w:tcPr>
            <w:tcW w:w="785" w:type="pct"/>
            <w:shd w:val="clear" w:color="auto" w:fill="FFFFFF"/>
          </w:tcPr>
          <w:p w14:paraId="25F1CCA8" w14:textId="17BEDE6C" w:rsidR="000977D3" w:rsidRPr="00DC049B" w:rsidRDefault="000977D3" w:rsidP="000977D3">
            <w:pPr>
              <w:pStyle w:val="CETBodytext"/>
              <w:ind w:right="-1"/>
              <w:rPr>
                <w:rFonts w:cs="Arial"/>
                <w:sz w:val="16"/>
                <w:szCs w:val="16"/>
                <w:lang w:val="en-GB"/>
              </w:rPr>
            </w:pPr>
          </w:p>
        </w:tc>
        <w:tc>
          <w:tcPr>
            <w:tcW w:w="748" w:type="pct"/>
            <w:shd w:val="clear" w:color="auto" w:fill="FFFFFF"/>
          </w:tcPr>
          <w:p w14:paraId="48451FF3" w14:textId="34909396" w:rsidR="000977D3" w:rsidRPr="00DC049B" w:rsidRDefault="00CA46BE" w:rsidP="000977D3">
            <w:pPr>
              <w:pStyle w:val="CETBodytext"/>
              <w:ind w:right="-1"/>
              <w:rPr>
                <w:rFonts w:cs="Arial"/>
                <w:sz w:val="16"/>
                <w:szCs w:val="16"/>
                <w:lang w:val="en-GB"/>
              </w:rPr>
            </w:pPr>
            <w:r w:rsidRPr="00DC049B">
              <w:rPr>
                <w:rFonts w:cs="Arial"/>
                <w:bCs/>
                <w:sz w:val="16"/>
                <w:szCs w:val="16"/>
                <w:lang w:val="en-GB"/>
              </w:rPr>
              <w:t>Risk Analysis</w:t>
            </w:r>
          </w:p>
        </w:tc>
        <w:tc>
          <w:tcPr>
            <w:tcW w:w="3467" w:type="pct"/>
            <w:shd w:val="clear" w:color="auto" w:fill="FFFFFF"/>
          </w:tcPr>
          <w:p w14:paraId="1EE77BBB" w14:textId="0B488EBD" w:rsidR="000977D3" w:rsidRPr="00DC049B" w:rsidRDefault="000977D3" w:rsidP="000977D3">
            <w:pPr>
              <w:pStyle w:val="CETBodytext"/>
              <w:ind w:right="-1"/>
              <w:rPr>
                <w:rFonts w:cs="Arial"/>
                <w:sz w:val="16"/>
                <w:szCs w:val="16"/>
                <w:lang w:val="en-GB"/>
              </w:rPr>
            </w:pPr>
            <w:r w:rsidRPr="00DC049B">
              <w:rPr>
                <w:rFonts w:cs="Arial"/>
                <w:sz w:val="16"/>
                <w:szCs w:val="16"/>
                <w:lang w:val="en-GB"/>
              </w:rPr>
              <w:t>Identified risks should be assessed</w:t>
            </w:r>
            <w:r w:rsidR="00654097">
              <w:rPr>
                <w:rFonts w:cs="Arial"/>
                <w:sz w:val="16"/>
                <w:szCs w:val="16"/>
                <w:lang w:val="en-GB"/>
              </w:rPr>
              <w:t>,</w:t>
            </w:r>
            <w:r w:rsidRPr="00DC049B">
              <w:rPr>
                <w:rFonts w:cs="Arial"/>
                <w:sz w:val="16"/>
                <w:szCs w:val="16"/>
                <w:lang w:val="en-GB"/>
              </w:rPr>
              <w:t xml:space="preserve"> and this section should </w:t>
            </w:r>
            <w:r w:rsidR="00B723A1">
              <w:rPr>
                <w:rFonts w:cs="Arial"/>
                <w:sz w:val="16"/>
                <w:szCs w:val="16"/>
                <w:lang w:val="en-GB"/>
              </w:rPr>
              <w:t>summarise</w:t>
            </w:r>
            <w:r w:rsidRPr="00DC049B">
              <w:rPr>
                <w:rFonts w:cs="Arial"/>
                <w:sz w:val="16"/>
                <w:szCs w:val="16"/>
                <w:lang w:val="en-GB"/>
              </w:rPr>
              <w:t xml:space="preserve"> the results of supporting analysis.</w:t>
            </w:r>
          </w:p>
        </w:tc>
      </w:tr>
      <w:tr w:rsidR="000977D3" w:rsidRPr="00DC049B" w14:paraId="3828930C" w14:textId="77777777" w:rsidTr="000977D3">
        <w:tc>
          <w:tcPr>
            <w:tcW w:w="785" w:type="pct"/>
            <w:shd w:val="clear" w:color="auto" w:fill="FFFFFF"/>
          </w:tcPr>
          <w:p w14:paraId="0AA0A7C7" w14:textId="70AB98CA" w:rsidR="000977D3" w:rsidRPr="00DC049B" w:rsidRDefault="000977D3" w:rsidP="000977D3">
            <w:pPr>
              <w:pStyle w:val="CETBodytext"/>
              <w:ind w:right="-1"/>
              <w:rPr>
                <w:rFonts w:cs="Arial"/>
                <w:sz w:val="16"/>
                <w:szCs w:val="16"/>
                <w:lang w:val="en-GB"/>
              </w:rPr>
            </w:pPr>
          </w:p>
        </w:tc>
        <w:tc>
          <w:tcPr>
            <w:tcW w:w="748" w:type="pct"/>
            <w:shd w:val="clear" w:color="auto" w:fill="FFFFFF"/>
          </w:tcPr>
          <w:p w14:paraId="50512993" w14:textId="3B1A7A5D" w:rsidR="000977D3" w:rsidRPr="00DC049B" w:rsidRDefault="00CA46BE" w:rsidP="000977D3">
            <w:pPr>
              <w:pStyle w:val="CETBodytext"/>
              <w:ind w:right="-1"/>
              <w:rPr>
                <w:rFonts w:cs="Arial"/>
                <w:sz w:val="16"/>
                <w:szCs w:val="16"/>
                <w:lang w:val="en-GB"/>
              </w:rPr>
            </w:pPr>
            <w:r w:rsidRPr="00DC049B">
              <w:rPr>
                <w:rFonts w:cs="Arial"/>
                <w:bCs/>
                <w:sz w:val="16"/>
                <w:szCs w:val="16"/>
                <w:lang w:val="en-GB"/>
              </w:rPr>
              <w:t>Risk Evaluation</w:t>
            </w:r>
          </w:p>
        </w:tc>
        <w:tc>
          <w:tcPr>
            <w:tcW w:w="3467" w:type="pct"/>
            <w:shd w:val="clear" w:color="auto" w:fill="FFFFFF"/>
          </w:tcPr>
          <w:p w14:paraId="54B4D3A7" w14:textId="17DAD077" w:rsidR="000977D3" w:rsidRPr="00DC049B" w:rsidRDefault="000977D3" w:rsidP="000977D3">
            <w:pPr>
              <w:pStyle w:val="CETBodytext"/>
              <w:ind w:right="-1"/>
              <w:rPr>
                <w:rFonts w:cs="Arial"/>
                <w:sz w:val="16"/>
                <w:szCs w:val="16"/>
                <w:lang w:val="en-GB"/>
              </w:rPr>
            </w:pPr>
            <w:r w:rsidRPr="00DC049B">
              <w:rPr>
                <w:rFonts w:cs="Arial"/>
                <w:sz w:val="16"/>
                <w:szCs w:val="16"/>
                <w:lang w:val="en-GB"/>
              </w:rPr>
              <w:t xml:space="preserve">This section should present the results of </w:t>
            </w:r>
            <w:r w:rsidR="0080529C" w:rsidRPr="00DC049B">
              <w:rPr>
                <w:rFonts w:cs="Arial"/>
                <w:sz w:val="16"/>
                <w:szCs w:val="16"/>
                <w:lang w:val="en-GB"/>
              </w:rPr>
              <w:t>comparing</w:t>
            </w:r>
            <w:r w:rsidRPr="00DC049B">
              <w:rPr>
                <w:rFonts w:cs="Arial"/>
                <w:sz w:val="16"/>
                <w:szCs w:val="16"/>
                <w:lang w:val="en-GB"/>
              </w:rPr>
              <w:t xml:space="preserve"> risks with acceptability/tolerability criteria.</w:t>
            </w:r>
          </w:p>
        </w:tc>
      </w:tr>
      <w:tr w:rsidR="000977D3" w:rsidRPr="00DC049B" w14:paraId="3996A611" w14:textId="77777777" w:rsidTr="000977D3">
        <w:tc>
          <w:tcPr>
            <w:tcW w:w="785" w:type="pct"/>
            <w:shd w:val="clear" w:color="auto" w:fill="FFFFFF"/>
          </w:tcPr>
          <w:p w14:paraId="68BD8110" w14:textId="3F34891E" w:rsidR="000977D3" w:rsidRPr="00DC049B" w:rsidRDefault="000977D3" w:rsidP="000977D3">
            <w:pPr>
              <w:pStyle w:val="CETBodytext"/>
              <w:ind w:right="-1"/>
              <w:rPr>
                <w:rFonts w:cs="Arial"/>
                <w:sz w:val="16"/>
                <w:szCs w:val="16"/>
                <w:lang w:val="en-GB"/>
              </w:rPr>
            </w:pPr>
          </w:p>
        </w:tc>
        <w:tc>
          <w:tcPr>
            <w:tcW w:w="748" w:type="pct"/>
            <w:shd w:val="clear" w:color="auto" w:fill="FFFFFF"/>
          </w:tcPr>
          <w:p w14:paraId="490D2DBC" w14:textId="6483BDF9" w:rsidR="000977D3" w:rsidRPr="00DC049B" w:rsidRDefault="00CA46BE" w:rsidP="000977D3">
            <w:pPr>
              <w:pStyle w:val="CETBodytext"/>
              <w:ind w:right="-1"/>
              <w:rPr>
                <w:rFonts w:cs="Arial"/>
                <w:sz w:val="16"/>
                <w:szCs w:val="16"/>
                <w:lang w:val="en-GB"/>
              </w:rPr>
            </w:pPr>
            <w:r w:rsidRPr="00DC049B">
              <w:rPr>
                <w:rFonts w:cs="Arial"/>
                <w:bCs/>
                <w:sz w:val="16"/>
                <w:szCs w:val="16"/>
                <w:lang w:val="en-GB"/>
              </w:rPr>
              <w:t>Risk Treatment</w:t>
            </w:r>
          </w:p>
        </w:tc>
        <w:tc>
          <w:tcPr>
            <w:tcW w:w="3467" w:type="pct"/>
            <w:shd w:val="clear" w:color="auto" w:fill="FFFFFF"/>
          </w:tcPr>
          <w:p w14:paraId="19A066DB" w14:textId="6D2F8E43" w:rsidR="000977D3" w:rsidRPr="00DC049B" w:rsidRDefault="000977D3" w:rsidP="000977D3">
            <w:pPr>
              <w:pStyle w:val="CETBodytext"/>
              <w:ind w:right="-1"/>
              <w:rPr>
                <w:rFonts w:cs="Arial"/>
                <w:sz w:val="16"/>
                <w:szCs w:val="16"/>
                <w:lang w:val="en-GB"/>
              </w:rPr>
            </w:pPr>
            <w:r w:rsidRPr="00DC049B">
              <w:rPr>
                <w:rFonts w:cs="Arial"/>
                <w:sz w:val="16"/>
                <w:szCs w:val="16"/>
                <w:lang w:val="en-GB"/>
              </w:rPr>
              <w:t xml:space="preserve">This section should </w:t>
            </w:r>
            <w:r w:rsidR="00B723A1">
              <w:rPr>
                <w:rFonts w:cs="Arial"/>
                <w:sz w:val="16"/>
                <w:szCs w:val="16"/>
                <w:lang w:val="en-GB"/>
              </w:rPr>
              <w:t>summarise</w:t>
            </w:r>
            <w:r w:rsidRPr="00DC049B">
              <w:rPr>
                <w:rFonts w:cs="Arial"/>
                <w:sz w:val="16"/>
                <w:szCs w:val="16"/>
                <w:lang w:val="en-GB"/>
              </w:rPr>
              <w:t xml:space="preserve"> the preventive and mitigative measures in place and the selection criteria</w:t>
            </w:r>
            <w:r w:rsidR="004C6973">
              <w:rPr>
                <w:rFonts w:cs="Arial"/>
                <w:sz w:val="16"/>
                <w:szCs w:val="16"/>
                <w:lang w:val="en-GB"/>
              </w:rPr>
              <w:t>.</w:t>
            </w:r>
          </w:p>
        </w:tc>
      </w:tr>
      <w:tr w:rsidR="000977D3" w:rsidRPr="00DC049B" w14:paraId="10D18BC8" w14:textId="77777777" w:rsidTr="000977D3">
        <w:tc>
          <w:tcPr>
            <w:tcW w:w="785" w:type="pct"/>
            <w:shd w:val="clear" w:color="auto" w:fill="FFFFFF"/>
          </w:tcPr>
          <w:p w14:paraId="10D55F61" w14:textId="4A60A725" w:rsidR="000977D3" w:rsidRDefault="004C6973" w:rsidP="000977D3">
            <w:pPr>
              <w:pStyle w:val="CETBodytext"/>
              <w:ind w:right="-1"/>
              <w:rPr>
                <w:rFonts w:cs="Arial"/>
                <w:bCs/>
                <w:sz w:val="16"/>
                <w:szCs w:val="16"/>
                <w:lang w:val="en-GB"/>
              </w:rPr>
            </w:pPr>
            <w:r>
              <w:rPr>
                <w:rFonts w:cs="Arial"/>
                <w:bCs/>
                <w:sz w:val="16"/>
                <w:szCs w:val="16"/>
                <w:lang w:val="en-GB"/>
              </w:rPr>
              <w:t xml:space="preserve">SAFETY </w:t>
            </w:r>
            <w:r w:rsidR="000977D3" w:rsidRPr="00DC049B">
              <w:rPr>
                <w:rFonts w:cs="Arial"/>
                <w:bCs/>
                <w:sz w:val="16"/>
                <w:szCs w:val="16"/>
                <w:lang w:val="en-GB"/>
              </w:rPr>
              <w:t>CRITICAL ELEMENTS</w:t>
            </w:r>
          </w:p>
          <w:p w14:paraId="7284B1BC" w14:textId="0C78DA0D" w:rsidR="004C6973" w:rsidRPr="00DC049B" w:rsidRDefault="004C6973" w:rsidP="000977D3">
            <w:pPr>
              <w:pStyle w:val="CETBodytext"/>
              <w:ind w:right="-1"/>
              <w:rPr>
                <w:rFonts w:cs="Arial"/>
                <w:sz w:val="16"/>
                <w:szCs w:val="16"/>
                <w:lang w:val="en-GB"/>
              </w:rPr>
            </w:pPr>
            <w:r>
              <w:rPr>
                <w:rFonts w:cs="Arial"/>
                <w:sz w:val="16"/>
                <w:szCs w:val="16"/>
                <w:lang w:val="en-GB"/>
              </w:rPr>
              <w:t>(SCE)</w:t>
            </w:r>
          </w:p>
        </w:tc>
        <w:tc>
          <w:tcPr>
            <w:tcW w:w="748" w:type="pct"/>
            <w:shd w:val="clear" w:color="auto" w:fill="FFFFFF"/>
          </w:tcPr>
          <w:p w14:paraId="67A3668A" w14:textId="20B6A594" w:rsidR="000977D3" w:rsidRPr="00DC049B" w:rsidRDefault="00CA46BE" w:rsidP="000977D3">
            <w:pPr>
              <w:pStyle w:val="CETBodytext"/>
              <w:ind w:right="-1"/>
              <w:rPr>
                <w:rFonts w:cs="Arial"/>
                <w:sz w:val="16"/>
                <w:szCs w:val="16"/>
                <w:lang w:val="en-GB"/>
              </w:rPr>
            </w:pPr>
            <w:r w:rsidRPr="00DC049B">
              <w:rPr>
                <w:rFonts w:cs="Arial"/>
                <w:bCs/>
                <w:sz w:val="16"/>
                <w:szCs w:val="16"/>
                <w:lang w:val="en-GB"/>
              </w:rPr>
              <w:t>Critical Elements</w:t>
            </w:r>
          </w:p>
        </w:tc>
        <w:tc>
          <w:tcPr>
            <w:tcW w:w="3467" w:type="pct"/>
            <w:vMerge w:val="restart"/>
            <w:shd w:val="clear" w:color="auto" w:fill="FFFFFF"/>
          </w:tcPr>
          <w:p w14:paraId="41BB3BAC" w14:textId="1DEB46A6" w:rsidR="000977D3" w:rsidRPr="00DC049B" w:rsidRDefault="000977D3" w:rsidP="000977D3">
            <w:pPr>
              <w:pStyle w:val="CETBodytext"/>
              <w:ind w:right="-1"/>
              <w:rPr>
                <w:rFonts w:cs="Arial"/>
                <w:sz w:val="16"/>
                <w:szCs w:val="16"/>
                <w:lang w:val="en-GB"/>
              </w:rPr>
            </w:pPr>
            <w:r w:rsidRPr="00DC049B">
              <w:rPr>
                <w:rFonts w:cs="Arial"/>
                <w:sz w:val="16"/>
                <w:szCs w:val="16"/>
                <w:lang w:val="en-GB"/>
              </w:rPr>
              <w:t xml:space="preserve">This section includes </w:t>
            </w:r>
            <w:r w:rsidR="003D0F13">
              <w:rPr>
                <w:rFonts w:cs="Arial"/>
                <w:sz w:val="16"/>
                <w:szCs w:val="16"/>
                <w:lang w:val="en-GB"/>
              </w:rPr>
              <w:t>identifying</w:t>
            </w:r>
            <w:r w:rsidRPr="00DC049B">
              <w:rPr>
                <w:rFonts w:cs="Arial"/>
                <w:sz w:val="16"/>
                <w:szCs w:val="16"/>
                <w:lang w:val="en-GB"/>
              </w:rPr>
              <w:t xml:space="preserve"> </w:t>
            </w:r>
            <w:r w:rsidR="0080529C" w:rsidRPr="00DC049B">
              <w:rPr>
                <w:rFonts w:cs="Arial"/>
                <w:sz w:val="16"/>
                <w:szCs w:val="16"/>
                <w:lang w:val="en-GB"/>
              </w:rPr>
              <w:t>safety-critical</w:t>
            </w:r>
            <w:r w:rsidRPr="00DC049B">
              <w:rPr>
                <w:rFonts w:cs="Arial"/>
                <w:sz w:val="16"/>
                <w:szCs w:val="16"/>
                <w:lang w:val="en-GB"/>
              </w:rPr>
              <w:t xml:space="preserve"> elements and </w:t>
            </w:r>
            <w:r w:rsidR="00064985">
              <w:rPr>
                <w:rFonts w:cs="Arial"/>
                <w:sz w:val="16"/>
                <w:szCs w:val="16"/>
                <w:lang w:val="en-GB"/>
              </w:rPr>
              <w:t>tasks. It should also describe the performance standards, inspection,</w:t>
            </w:r>
            <w:r w:rsidRPr="00DC049B">
              <w:rPr>
                <w:rFonts w:cs="Arial"/>
                <w:sz w:val="16"/>
                <w:szCs w:val="16"/>
                <w:lang w:val="en-GB"/>
              </w:rPr>
              <w:t xml:space="preserve"> and maintenance processes to provide assurance. SCEs will include flammable gas detectors, emergency shutdown systems, fire suppression systems, HVAC, emergency lighting, emergency </w:t>
            </w:r>
            <w:r w:rsidR="003305E5" w:rsidRPr="00DC049B">
              <w:rPr>
                <w:rFonts w:cs="Arial"/>
                <w:sz w:val="16"/>
                <w:szCs w:val="16"/>
                <w:lang w:val="en-GB"/>
              </w:rPr>
              <w:t>means</w:t>
            </w:r>
            <w:r w:rsidRPr="00DC049B">
              <w:rPr>
                <w:rFonts w:cs="Arial"/>
                <w:sz w:val="16"/>
                <w:szCs w:val="16"/>
                <w:lang w:val="en-GB"/>
              </w:rPr>
              <w:t>, etc.</w:t>
            </w:r>
          </w:p>
          <w:p w14:paraId="02A1B60C" w14:textId="57DCA43D" w:rsidR="003305E5" w:rsidRPr="00DC049B" w:rsidRDefault="003305E5" w:rsidP="000977D3">
            <w:pPr>
              <w:pStyle w:val="CETBodytext"/>
              <w:ind w:right="-1"/>
              <w:rPr>
                <w:rFonts w:cs="Arial"/>
                <w:sz w:val="16"/>
                <w:szCs w:val="16"/>
                <w:lang w:val="en-GB"/>
              </w:rPr>
            </w:pPr>
          </w:p>
        </w:tc>
      </w:tr>
      <w:tr w:rsidR="000977D3" w:rsidRPr="00DC049B" w14:paraId="7CFAA08E" w14:textId="77777777" w:rsidTr="000977D3">
        <w:tc>
          <w:tcPr>
            <w:tcW w:w="785" w:type="pct"/>
            <w:shd w:val="clear" w:color="auto" w:fill="FFFFFF"/>
          </w:tcPr>
          <w:p w14:paraId="7C868948" w14:textId="2C53AC7E" w:rsidR="000977D3" w:rsidRPr="00DC049B" w:rsidRDefault="000977D3" w:rsidP="000977D3">
            <w:pPr>
              <w:pStyle w:val="CETBodytext"/>
              <w:ind w:right="-1"/>
              <w:rPr>
                <w:rFonts w:cs="Arial"/>
                <w:sz w:val="16"/>
                <w:szCs w:val="16"/>
                <w:lang w:val="en-GB"/>
              </w:rPr>
            </w:pPr>
          </w:p>
        </w:tc>
        <w:tc>
          <w:tcPr>
            <w:tcW w:w="748" w:type="pct"/>
            <w:shd w:val="clear" w:color="auto" w:fill="FFFFFF"/>
          </w:tcPr>
          <w:p w14:paraId="504D8AF0" w14:textId="4879EE03" w:rsidR="000977D3" w:rsidRPr="00DC049B" w:rsidRDefault="00CA46BE" w:rsidP="000977D3">
            <w:pPr>
              <w:pStyle w:val="CETBodytext"/>
              <w:ind w:right="-1"/>
              <w:rPr>
                <w:rFonts w:cs="Arial"/>
                <w:sz w:val="16"/>
                <w:szCs w:val="16"/>
                <w:lang w:val="en-GB"/>
              </w:rPr>
            </w:pPr>
            <w:r w:rsidRPr="00DC049B">
              <w:rPr>
                <w:rFonts w:cs="Arial"/>
                <w:bCs/>
                <w:sz w:val="16"/>
                <w:szCs w:val="16"/>
                <w:lang w:val="en-GB"/>
              </w:rPr>
              <w:t>Critical Tasks</w:t>
            </w:r>
          </w:p>
        </w:tc>
        <w:tc>
          <w:tcPr>
            <w:tcW w:w="3467" w:type="pct"/>
            <w:vMerge/>
            <w:shd w:val="clear" w:color="auto" w:fill="FFFFFF"/>
          </w:tcPr>
          <w:p w14:paraId="49D7F5B9" w14:textId="77777777" w:rsidR="000977D3" w:rsidRPr="00DC049B" w:rsidRDefault="000977D3" w:rsidP="000977D3">
            <w:pPr>
              <w:pStyle w:val="CETBodytext"/>
              <w:ind w:right="-1"/>
              <w:rPr>
                <w:rFonts w:cs="Arial"/>
                <w:sz w:val="16"/>
                <w:szCs w:val="16"/>
                <w:lang w:val="en-GB"/>
              </w:rPr>
            </w:pPr>
          </w:p>
        </w:tc>
      </w:tr>
      <w:tr w:rsidR="000977D3" w:rsidRPr="00DC049B" w14:paraId="37287DB1" w14:textId="77777777" w:rsidTr="0087428E">
        <w:tc>
          <w:tcPr>
            <w:tcW w:w="785" w:type="pct"/>
            <w:shd w:val="clear" w:color="auto" w:fill="FFFFFF"/>
            <w:vAlign w:val="center"/>
          </w:tcPr>
          <w:p w14:paraId="320888D1" w14:textId="13F930DE" w:rsidR="000977D3" w:rsidRPr="00DC049B" w:rsidRDefault="000977D3" w:rsidP="000977D3">
            <w:pPr>
              <w:pStyle w:val="CETBodytext"/>
              <w:ind w:right="-1"/>
              <w:rPr>
                <w:rFonts w:cs="Arial"/>
                <w:sz w:val="16"/>
                <w:szCs w:val="16"/>
                <w:lang w:val="en-GB"/>
              </w:rPr>
            </w:pPr>
            <w:r w:rsidRPr="00DC049B">
              <w:rPr>
                <w:rFonts w:cs="Arial"/>
                <w:bCs/>
                <w:sz w:val="16"/>
                <w:szCs w:val="16"/>
                <w:lang w:val="en-GB"/>
              </w:rPr>
              <w:t>ALARP STATEMENTS</w:t>
            </w:r>
          </w:p>
        </w:tc>
        <w:tc>
          <w:tcPr>
            <w:tcW w:w="748" w:type="pct"/>
            <w:shd w:val="clear" w:color="auto" w:fill="FFFFFF"/>
          </w:tcPr>
          <w:p w14:paraId="0C757DE4" w14:textId="3C02A9F7" w:rsidR="000977D3" w:rsidRPr="00DC049B" w:rsidRDefault="000977D3" w:rsidP="000977D3">
            <w:pPr>
              <w:pStyle w:val="CETBodytext"/>
              <w:ind w:right="-1"/>
              <w:rPr>
                <w:rFonts w:cs="Arial"/>
                <w:sz w:val="16"/>
                <w:szCs w:val="16"/>
                <w:lang w:val="en-GB"/>
              </w:rPr>
            </w:pPr>
            <w:r w:rsidRPr="00DC049B">
              <w:rPr>
                <w:rFonts w:cs="Arial"/>
                <w:bCs/>
                <w:sz w:val="16"/>
                <w:szCs w:val="16"/>
                <w:lang w:val="en-GB"/>
              </w:rPr>
              <w:t>--</w:t>
            </w:r>
          </w:p>
        </w:tc>
        <w:tc>
          <w:tcPr>
            <w:tcW w:w="3467" w:type="pct"/>
            <w:shd w:val="clear" w:color="auto" w:fill="FFFFFF"/>
          </w:tcPr>
          <w:p w14:paraId="0DA8A964" w14:textId="2FAD67B0" w:rsidR="000977D3" w:rsidRPr="00DC049B" w:rsidRDefault="000977D3" w:rsidP="000977D3">
            <w:pPr>
              <w:pStyle w:val="CETBodytext"/>
              <w:ind w:right="-1"/>
              <w:rPr>
                <w:rFonts w:cs="Arial"/>
                <w:sz w:val="16"/>
                <w:szCs w:val="16"/>
                <w:lang w:val="en-GB"/>
              </w:rPr>
            </w:pPr>
            <w:r w:rsidRPr="00DC049B">
              <w:rPr>
                <w:rFonts w:cs="Arial"/>
                <w:sz w:val="16"/>
                <w:szCs w:val="16"/>
                <w:lang w:val="en-GB"/>
              </w:rPr>
              <w:t xml:space="preserve">This section should describe the methodology used to demonstrate that risks associated with the activities are reduced to </w:t>
            </w:r>
            <w:r w:rsidR="0080529C" w:rsidRPr="00DC049B">
              <w:rPr>
                <w:rFonts w:cs="Arial"/>
                <w:sz w:val="16"/>
                <w:szCs w:val="16"/>
                <w:lang w:val="en-GB"/>
              </w:rPr>
              <w:t xml:space="preserve">the </w:t>
            </w:r>
            <w:r w:rsidRPr="00DC049B">
              <w:rPr>
                <w:rFonts w:cs="Arial"/>
                <w:sz w:val="16"/>
                <w:szCs w:val="16"/>
                <w:lang w:val="en-GB"/>
              </w:rPr>
              <w:t xml:space="preserve">ALARP level, including </w:t>
            </w:r>
            <w:r w:rsidR="00064985">
              <w:rPr>
                <w:rFonts w:cs="Arial"/>
                <w:sz w:val="16"/>
                <w:szCs w:val="16"/>
                <w:lang w:val="en-GB"/>
              </w:rPr>
              <w:t>discussing</w:t>
            </w:r>
            <w:r w:rsidRPr="00DC049B">
              <w:rPr>
                <w:rFonts w:cs="Arial"/>
                <w:sz w:val="16"/>
                <w:szCs w:val="16"/>
                <w:lang w:val="en-GB"/>
              </w:rPr>
              <w:t xml:space="preserve"> the ALARP criteria.</w:t>
            </w:r>
          </w:p>
          <w:p w14:paraId="126B3DA4" w14:textId="4D3F383B" w:rsidR="003305E5" w:rsidRPr="00DC049B" w:rsidRDefault="003305E5" w:rsidP="000977D3">
            <w:pPr>
              <w:pStyle w:val="CETBodytext"/>
              <w:ind w:right="-1"/>
              <w:rPr>
                <w:rFonts w:cs="Arial"/>
                <w:sz w:val="16"/>
                <w:szCs w:val="16"/>
                <w:lang w:val="en-GB"/>
              </w:rPr>
            </w:pPr>
          </w:p>
        </w:tc>
      </w:tr>
      <w:tr w:rsidR="000977D3" w:rsidRPr="00DC049B" w14:paraId="5C866C46" w14:textId="77777777" w:rsidTr="00343F38">
        <w:tc>
          <w:tcPr>
            <w:tcW w:w="785" w:type="pct"/>
            <w:shd w:val="clear" w:color="auto" w:fill="FFFFFF"/>
            <w:vAlign w:val="center"/>
          </w:tcPr>
          <w:p w14:paraId="76E95501" w14:textId="7880FB42" w:rsidR="000977D3" w:rsidRPr="00DC049B" w:rsidRDefault="000977D3" w:rsidP="000977D3">
            <w:pPr>
              <w:pStyle w:val="CETBodytext"/>
              <w:ind w:right="-1"/>
              <w:rPr>
                <w:rFonts w:cs="Arial"/>
                <w:sz w:val="16"/>
                <w:szCs w:val="16"/>
                <w:lang w:val="en-GB"/>
              </w:rPr>
            </w:pPr>
            <w:r w:rsidRPr="00DC049B">
              <w:rPr>
                <w:rFonts w:cs="Arial"/>
                <w:bCs/>
                <w:sz w:val="16"/>
                <w:szCs w:val="16"/>
                <w:lang w:val="en-GB"/>
              </w:rPr>
              <w:t>EMERGENCY RESPONSE</w:t>
            </w:r>
          </w:p>
        </w:tc>
        <w:tc>
          <w:tcPr>
            <w:tcW w:w="748" w:type="pct"/>
            <w:shd w:val="clear" w:color="auto" w:fill="FFFFFF"/>
          </w:tcPr>
          <w:p w14:paraId="706F0A7C" w14:textId="073402EC" w:rsidR="000977D3" w:rsidRPr="00DC049B" w:rsidRDefault="000977D3" w:rsidP="000977D3">
            <w:pPr>
              <w:pStyle w:val="CETBodytext"/>
              <w:ind w:right="-1"/>
              <w:rPr>
                <w:rFonts w:cs="Arial"/>
                <w:sz w:val="16"/>
                <w:szCs w:val="16"/>
                <w:lang w:val="en-GB"/>
              </w:rPr>
            </w:pPr>
            <w:r w:rsidRPr="00DC049B">
              <w:rPr>
                <w:rFonts w:cs="Arial"/>
                <w:bCs/>
                <w:sz w:val="16"/>
                <w:szCs w:val="16"/>
                <w:lang w:val="en-GB"/>
              </w:rPr>
              <w:t>--</w:t>
            </w:r>
          </w:p>
        </w:tc>
        <w:tc>
          <w:tcPr>
            <w:tcW w:w="3467" w:type="pct"/>
            <w:shd w:val="clear" w:color="auto" w:fill="FFFFFF"/>
          </w:tcPr>
          <w:p w14:paraId="6EF23274" w14:textId="71CCB2C9" w:rsidR="000977D3" w:rsidRPr="00DC049B" w:rsidRDefault="00732F03" w:rsidP="000977D3">
            <w:pPr>
              <w:pStyle w:val="CETBodytext"/>
              <w:ind w:right="-1"/>
              <w:rPr>
                <w:rFonts w:cs="Arial"/>
                <w:sz w:val="16"/>
                <w:szCs w:val="16"/>
                <w:lang w:val="en-GB"/>
              </w:rPr>
            </w:pPr>
            <w:r>
              <w:rPr>
                <w:rFonts w:cs="Arial"/>
                <w:sz w:val="16"/>
                <w:szCs w:val="16"/>
                <w:lang w:val="en-GB"/>
              </w:rPr>
              <w:t xml:space="preserve">This section should outline emergency procedures, including </w:t>
            </w:r>
            <w:r w:rsidR="003D0F13">
              <w:rPr>
                <w:rFonts w:cs="Arial"/>
                <w:sz w:val="16"/>
                <w:szCs w:val="16"/>
                <w:lang w:val="en-GB"/>
              </w:rPr>
              <w:t>suspending and abandoning</w:t>
            </w:r>
            <w:r>
              <w:rPr>
                <w:rFonts w:cs="Arial"/>
                <w:sz w:val="16"/>
                <w:szCs w:val="16"/>
                <w:lang w:val="en-GB"/>
              </w:rPr>
              <w:t xml:space="preserve"> activities. It should address how components at various locations, such as pipeline pumping stations, can </w:t>
            </w:r>
            <w:r w:rsidR="003D0F13">
              <w:rPr>
                <w:rFonts w:cs="Arial"/>
                <w:sz w:val="16"/>
                <w:szCs w:val="16"/>
                <w:lang w:val="en-GB"/>
              </w:rPr>
              <w:t>communicate effectively</w:t>
            </w:r>
            <w:r>
              <w:rPr>
                <w:rFonts w:cs="Arial"/>
                <w:sz w:val="16"/>
                <w:szCs w:val="16"/>
                <w:lang w:val="en-GB"/>
              </w:rPr>
              <w:t>. The emergency response plan should highlight any reliance on human intervention and external services (e.g. the marine authority for port operations</w:t>
            </w:r>
            <w:r w:rsidR="003D0F13">
              <w:rPr>
                <w:rFonts w:cs="Arial"/>
                <w:sz w:val="16"/>
                <w:szCs w:val="16"/>
                <w:lang w:val="en-GB"/>
              </w:rPr>
              <w:t xml:space="preserve"> and </w:t>
            </w:r>
            <w:r>
              <w:rPr>
                <w:rFonts w:cs="Arial"/>
                <w:sz w:val="16"/>
                <w:szCs w:val="16"/>
                <w:lang w:val="en-GB"/>
              </w:rPr>
              <w:t>onshore fire brigades). Additionally, it should include details on resource coordination (including cooperation with competitors in nearby areas as part of the external emergency plan for major accidents).</w:t>
            </w:r>
          </w:p>
        </w:tc>
      </w:tr>
      <w:tr w:rsidR="000977D3" w:rsidRPr="00DC049B" w14:paraId="67033EA0" w14:textId="77777777" w:rsidTr="000977D3">
        <w:tc>
          <w:tcPr>
            <w:tcW w:w="785" w:type="pct"/>
            <w:shd w:val="clear" w:color="auto" w:fill="FFFFFF"/>
          </w:tcPr>
          <w:p w14:paraId="403ECCCB" w14:textId="77777777" w:rsidR="000977D3" w:rsidRPr="00DC049B" w:rsidRDefault="000977D3" w:rsidP="000977D3">
            <w:pPr>
              <w:pStyle w:val="CETBodytext"/>
              <w:ind w:right="-1"/>
              <w:rPr>
                <w:rFonts w:cs="Arial"/>
                <w:sz w:val="16"/>
                <w:szCs w:val="16"/>
                <w:lang w:val="en-GB"/>
              </w:rPr>
            </w:pPr>
          </w:p>
        </w:tc>
        <w:tc>
          <w:tcPr>
            <w:tcW w:w="748" w:type="pct"/>
            <w:shd w:val="clear" w:color="auto" w:fill="FFFFFF"/>
          </w:tcPr>
          <w:p w14:paraId="44435752" w14:textId="1273DF7B" w:rsidR="000977D3" w:rsidRPr="00DC049B" w:rsidRDefault="000977D3" w:rsidP="000977D3">
            <w:pPr>
              <w:pStyle w:val="CETBodytext"/>
              <w:ind w:right="-1"/>
              <w:rPr>
                <w:rFonts w:cs="Arial"/>
                <w:sz w:val="16"/>
                <w:szCs w:val="16"/>
                <w:lang w:val="en-GB"/>
              </w:rPr>
            </w:pPr>
          </w:p>
        </w:tc>
        <w:tc>
          <w:tcPr>
            <w:tcW w:w="3467" w:type="pct"/>
            <w:shd w:val="clear" w:color="auto" w:fill="FFFFFF"/>
          </w:tcPr>
          <w:p w14:paraId="6679BAE1" w14:textId="77777777" w:rsidR="000977D3" w:rsidRPr="00DC049B" w:rsidRDefault="000977D3" w:rsidP="000977D3">
            <w:pPr>
              <w:pStyle w:val="CETBodytext"/>
              <w:ind w:right="-1"/>
              <w:rPr>
                <w:rFonts w:cs="Arial"/>
                <w:sz w:val="16"/>
                <w:szCs w:val="16"/>
                <w:lang w:val="en-GB"/>
              </w:rPr>
            </w:pPr>
          </w:p>
        </w:tc>
      </w:tr>
      <w:tr w:rsidR="000977D3" w:rsidRPr="00DC049B" w14:paraId="2DAE4832" w14:textId="77777777" w:rsidTr="000977D3">
        <w:tc>
          <w:tcPr>
            <w:tcW w:w="785" w:type="pct"/>
            <w:tcBorders>
              <w:bottom w:val="single" w:sz="12" w:space="0" w:color="008000"/>
            </w:tcBorders>
            <w:shd w:val="clear" w:color="auto" w:fill="FFFFFF"/>
          </w:tcPr>
          <w:p w14:paraId="43C96117" w14:textId="77777777" w:rsidR="000977D3" w:rsidRPr="00DC049B" w:rsidRDefault="000977D3" w:rsidP="000977D3">
            <w:pPr>
              <w:pStyle w:val="CETBodytext"/>
              <w:ind w:right="-1"/>
              <w:rPr>
                <w:rFonts w:cs="Arial"/>
                <w:sz w:val="16"/>
                <w:szCs w:val="16"/>
                <w:lang w:val="en-GB"/>
              </w:rPr>
            </w:pPr>
            <w:r w:rsidRPr="00DC049B">
              <w:rPr>
                <w:rFonts w:cs="Arial"/>
                <w:sz w:val="16"/>
                <w:szCs w:val="16"/>
                <w:lang w:val="en-GB"/>
              </w:rPr>
              <w:t>CONCLUSIONS</w:t>
            </w:r>
          </w:p>
        </w:tc>
        <w:tc>
          <w:tcPr>
            <w:tcW w:w="748" w:type="pct"/>
            <w:tcBorders>
              <w:bottom w:val="single" w:sz="12" w:space="0" w:color="008000"/>
            </w:tcBorders>
            <w:shd w:val="clear" w:color="auto" w:fill="FFFFFF"/>
          </w:tcPr>
          <w:p w14:paraId="1F9E9483" w14:textId="77777777" w:rsidR="000977D3" w:rsidRPr="00DC049B" w:rsidRDefault="000977D3" w:rsidP="000977D3">
            <w:pPr>
              <w:pStyle w:val="CETBodytext"/>
              <w:ind w:right="-1"/>
              <w:rPr>
                <w:rFonts w:cs="Arial"/>
                <w:sz w:val="16"/>
                <w:szCs w:val="16"/>
                <w:lang w:val="en-GB"/>
              </w:rPr>
            </w:pPr>
            <w:r w:rsidRPr="00DC049B">
              <w:rPr>
                <w:rFonts w:cs="Arial"/>
                <w:sz w:val="16"/>
                <w:szCs w:val="16"/>
                <w:lang w:val="en-GB"/>
              </w:rPr>
              <w:t>--</w:t>
            </w:r>
          </w:p>
        </w:tc>
        <w:tc>
          <w:tcPr>
            <w:tcW w:w="3467" w:type="pct"/>
            <w:tcBorders>
              <w:bottom w:val="single" w:sz="12" w:space="0" w:color="008000"/>
            </w:tcBorders>
            <w:shd w:val="clear" w:color="auto" w:fill="FFFFFF"/>
          </w:tcPr>
          <w:p w14:paraId="21B4214F" w14:textId="77777777" w:rsidR="000977D3" w:rsidRPr="00DC049B" w:rsidRDefault="000977D3" w:rsidP="000977D3">
            <w:pPr>
              <w:pStyle w:val="CETBodytext"/>
              <w:ind w:right="-1"/>
              <w:rPr>
                <w:rFonts w:cs="Arial"/>
                <w:sz w:val="16"/>
                <w:szCs w:val="16"/>
                <w:lang w:val="en-GB"/>
              </w:rPr>
            </w:pPr>
            <w:r w:rsidRPr="00DC049B">
              <w:rPr>
                <w:rFonts w:cs="Arial"/>
                <w:sz w:val="16"/>
                <w:szCs w:val="16"/>
                <w:lang w:val="en-GB"/>
              </w:rPr>
              <w:t>Executive summary.</w:t>
            </w:r>
          </w:p>
          <w:p w14:paraId="166EA4A0" w14:textId="77777777" w:rsidR="000977D3" w:rsidRPr="00DC049B" w:rsidRDefault="000977D3" w:rsidP="000977D3">
            <w:pPr>
              <w:pStyle w:val="CETBodytext"/>
              <w:ind w:right="-1"/>
              <w:rPr>
                <w:rFonts w:cs="Arial"/>
                <w:sz w:val="16"/>
                <w:szCs w:val="16"/>
                <w:lang w:val="en-GB"/>
              </w:rPr>
            </w:pPr>
            <w:r w:rsidRPr="00DC049B">
              <w:rPr>
                <w:rFonts w:cs="Arial"/>
                <w:sz w:val="16"/>
                <w:szCs w:val="16"/>
                <w:lang w:val="en-GB"/>
              </w:rPr>
              <w:t>Statement of fitness.</w:t>
            </w:r>
          </w:p>
        </w:tc>
      </w:tr>
    </w:tbl>
    <w:p w14:paraId="29CFB8DF" w14:textId="0477F98C" w:rsidR="000977D3" w:rsidRDefault="000977D3" w:rsidP="000977D3"/>
    <w:p w14:paraId="68E1BF40" w14:textId="77777777" w:rsidR="00732F03" w:rsidRPr="00DC049B" w:rsidRDefault="00732F03" w:rsidP="00732F03">
      <w:pPr>
        <w:pStyle w:val="CETHeading1"/>
        <w:rPr>
          <w:lang w:val="en-GB"/>
        </w:rPr>
      </w:pPr>
      <w:r w:rsidRPr="00DC049B">
        <w:rPr>
          <w:lang w:val="en-GB"/>
        </w:rPr>
        <w:t>Conclusions</w:t>
      </w:r>
    </w:p>
    <w:p w14:paraId="3772E2A0" w14:textId="77777777" w:rsidR="00732F03" w:rsidRPr="00DC049B" w:rsidRDefault="00732F03" w:rsidP="00732F03">
      <w:pPr>
        <w:pStyle w:val="CETBodytext"/>
        <w:rPr>
          <w:lang w:val="en-GB"/>
        </w:rPr>
      </w:pPr>
      <w:r w:rsidRPr="00DC049B">
        <w:rPr>
          <w:lang w:val="en-GB"/>
        </w:rPr>
        <w:t xml:space="preserve">The need to manage growing complexity and emerging risks in reality at risk of a major accident has led the authors to highlight the need to equip complex industrial realities, such as those of Oil &amp; Gas, with a streamlined, structured and complete tool for the management of risks. This tool has been identified in the Safety Case to be condensed </w:t>
      </w:r>
      <w:r>
        <w:rPr>
          <w:lang w:val="en-GB"/>
        </w:rPr>
        <w:t>into an executive summary</w:t>
      </w:r>
      <w:r w:rsidRPr="00DC049B">
        <w:rPr>
          <w:lang w:val="en-GB"/>
        </w:rPr>
        <w:t xml:space="preserve"> according to an approach already widely used in other industrial contexts. </w:t>
      </w:r>
      <w:r>
        <w:rPr>
          <w:lang w:val="en-GB"/>
        </w:rPr>
        <w:t>Thus, the document</w:t>
      </w:r>
      <w:r w:rsidRPr="00DC049B">
        <w:rPr>
          <w:lang w:val="en-GB"/>
        </w:rPr>
        <w:t xml:space="preserve"> is configured as a connecting element between the Safety Report, the Safety Management System and the Prevention of Major Accidents. Furthermore, if used in electronic format, it offers itself as a sharing tool between the various stakeholders, including the authority having jurisdiction, helping to keep the representation of risks updated.</w:t>
      </w:r>
    </w:p>
    <w:p w14:paraId="4D6CEEF0" w14:textId="77777777" w:rsidR="00732F03" w:rsidRPr="00DC049B" w:rsidRDefault="00732F03" w:rsidP="00732F03">
      <w:pPr>
        <w:pStyle w:val="CETBodytext"/>
        <w:rPr>
          <w:lang w:val="en-GB"/>
        </w:rPr>
      </w:pPr>
      <w:r w:rsidRPr="00DC049B">
        <w:rPr>
          <w:lang w:val="en-GB"/>
        </w:rPr>
        <w:lastRenderedPageBreak/>
        <w:t>The executive summary contains the evidence of the changes that have occurred over the last five years or since the previous management review, together with the link to the dedicated insights (assessment of the human factor critical elements for safety and the environment), the evidence (including those related to fire safety management) and plans to substantiate and demonstrate the implementation of the Safety Management System for the Prevention of Major Accidents, as well as the emergency response plan and the personnel information/education and training plan.</w:t>
      </w:r>
    </w:p>
    <w:p w14:paraId="67174CB8" w14:textId="77777777" w:rsidR="00732F03" w:rsidRPr="00DC049B" w:rsidRDefault="00732F03" w:rsidP="00732F03">
      <w:pPr>
        <w:pStyle w:val="CETBodytext"/>
        <w:rPr>
          <w:lang w:val="en-GB"/>
        </w:rPr>
      </w:pPr>
      <w:r w:rsidRPr="00DC049B">
        <w:rPr>
          <w:lang w:val="en-GB"/>
        </w:rPr>
        <w:t xml:space="preserve">This approach has been positively tested at the company Iplom S.p.A., </w:t>
      </w:r>
      <w:r>
        <w:rPr>
          <w:lang w:val="en-GB"/>
        </w:rPr>
        <w:t>characterised by multiple production sites, complex production processes,</w:t>
      </w:r>
      <w:r w:rsidRPr="00DC049B">
        <w:rPr>
          <w:lang w:val="en-GB"/>
        </w:rPr>
        <w:t xml:space="preserve"> and an extremely extensive safety report.</w:t>
      </w:r>
    </w:p>
    <w:p w14:paraId="7286D85E" w14:textId="77777777" w:rsidR="00732F03" w:rsidRPr="00DC049B" w:rsidRDefault="00732F03" w:rsidP="000977D3"/>
    <w:p w14:paraId="4B1322F6" w14:textId="1D49871A" w:rsidR="00C73D33" w:rsidRPr="00DC049B" w:rsidRDefault="00C73D33" w:rsidP="00C73D33">
      <w:pPr>
        <w:pStyle w:val="CETBodytext"/>
        <w:rPr>
          <w:lang w:val="en-GB"/>
        </w:rPr>
      </w:pPr>
      <w:r w:rsidRPr="00DC049B">
        <w:rPr>
          <w:noProof/>
          <w:lang w:val="en-GB" w:eastAsia="it-IT"/>
        </w:rPr>
        <w:drawing>
          <wp:inline distT="0" distB="0" distL="0" distR="0" wp14:anchorId="564CDBB2" wp14:editId="4A54A007">
            <wp:extent cx="5439891" cy="2698654"/>
            <wp:effectExtent l="0" t="0" r="8890" b="6985"/>
            <wp:docPr id="64347707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77072" name="Immagine 4"/>
                    <pic:cNvPicPr>
                      <a:picLocks noChangeAspect="1" noChangeArrowheads="1"/>
                    </pic:cNvPicPr>
                  </pic:nvPicPr>
                  <pic:blipFill>
                    <a:blip r:embed="rId14"/>
                    <a:stretch>
                      <a:fillRect/>
                    </a:stretch>
                  </pic:blipFill>
                  <pic:spPr bwMode="auto">
                    <a:xfrm>
                      <a:off x="0" y="0"/>
                      <a:ext cx="5439891" cy="2698654"/>
                    </a:xfrm>
                    <a:prstGeom prst="rect">
                      <a:avLst/>
                    </a:prstGeom>
                    <a:noFill/>
                  </pic:spPr>
                </pic:pic>
              </a:graphicData>
            </a:graphic>
          </wp:inline>
        </w:drawing>
      </w:r>
    </w:p>
    <w:p w14:paraId="1A9C384B" w14:textId="08DB05AB" w:rsidR="00C73D33" w:rsidRPr="00DC049B" w:rsidRDefault="00C73D33" w:rsidP="000B350B">
      <w:pPr>
        <w:pStyle w:val="CETCaption"/>
      </w:pPr>
      <w:r w:rsidRPr="00DC049B">
        <w:t>Figure 4 – Usable E-Safety Case</w:t>
      </w:r>
    </w:p>
    <w:p w14:paraId="4F1327F8" w14:textId="77777777" w:rsidR="00600535" w:rsidRPr="00DC049B" w:rsidRDefault="00600535" w:rsidP="000B350B">
      <w:pPr>
        <w:pStyle w:val="CETReference"/>
      </w:pPr>
      <w:r w:rsidRPr="00DC049B">
        <w:t>References</w:t>
      </w:r>
    </w:p>
    <w:p w14:paraId="41C8328E" w14:textId="26BC6F1D" w:rsidR="00E06A26" w:rsidRDefault="00E06A26" w:rsidP="00E06A26">
      <w:pPr>
        <w:pStyle w:val="CETReferencetext"/>
      </w:pPr>
      <w:r w:rsidRPr="00DC049B">
        <w:t>Bloomfield, R. E. &amp; Netkachova, K. (2014). Building Blocks for Assurance Cases. Paper presented at the International Symposium on Software Reliability Engineering (ISSRE), 03-11-2014 - 06-11-2014, Naples, Italy</w:t>
      </w:r>
    </w:p>
    <w:p w14:paraId="44B3FBB5" w14:textId="2FE33524" w:rsidR="00DC049B" w:rsidRPr="00DC049B" w:rsidRDefault="00DC049B" w:rsidP="00E06A26">
      <w:pPr>
        <w:pStyle w:val="CETReferencetext"/>
      </w:pPr>
      <w:r w:rsidRPr="001B1C4D">
        <w:rPr>
          <w:lang w:val="it-IT"/>
        </w:rPr>
        <w:t>Fiorentini L., Pinetti G., Sicari R., Farinella M., Marmo L.</w:t>
      </w:r>
      <w:r w:rsidR="001B1C4D" w:rsidRPr="001B1C4D">
        <w:rPr>
          <w:lang w:val="it-IT"/>
        </w:rPr>
        <w:t xml:space="preserve"> (</w:t>
      </w:r>
      <w:r w:rsidRPr="001B1C4D">
        <w:rPr>
          <w:lang w:val="it-IT"/>
        </w:rPr>
        <w:t>2018</w:t>
      </w:r>
      <w:r w:rsidR="001B1C4D" w:rsidRPr="001B1C4D">
        <w:rPr>
          <w:lang w:val="it-IT"/>
        </w:rPr>
        <w:t>).</w:t>
      </w:r>
      <w:r w:rsidRPr="001B1C4D">
        <w:rPr>
          <w:lang w:val="it-IT"/>
        </w:rPr>
        <w:t xml:space="preserve"> </w:t>
      </w:r>
      <w:r w:rsidRPr="00DC049B">
        <w:t>“Offshore Directive” on Major Accidents: a Barrier-based Safety Management System Built on Shared Ontologies and Taxonomies. Real Applications in Italy, Chemical Engineering Transactions, 67, 355-360.</w:t>
      </w:r>
    </w:p>
    <w:p w14:paraId="44E6013D" w14:textId="6F3E3D72" w:rsidR="0035110E" w:rsidRPr="00DC049B" w:rsidRDefault="0035110E" w:rsidP="000B350B">
      <w:pPr>
        <w:pStyle w:val="CETReferencetext"/>
      </w:pPr>
      <w:r w:rsidRPr="00DC049B">
        <w:t xml:space="preserve">Fiorentini, L. (2021) Bow-Tie industrial risk management across sectors: A barrier-based approach. 1st </w:t>
      </w:r>
      <w:r w:rsidR="0080529C" w:rsidRPr="00DC049B">
        <w:t>ed</w:t>
      </w:r>
      <w:r w:rsidRPr="00DC049B">
        <w:t>. New York: John Wiley &amp; Sons.</w:t>
      </w:r>
    </w:p>
    <w:p w14:paraId="3FA7869A" w14:textId="1CE80CE1" w:rsidR="00DC049B" w:rsidRPr="00DC049B" w:rsidRDefault="00DC049B" w:rsidP="00DC049B">
      <w:pPr>
        <w:pStyle w:val="CETReferencetext"/>
      </w:pPr>
      <w:r w:rsidRPr="00DC049B">
        <w:t>Fiorentini, L.</w:t>
      </w:r>
      <w:r w:rsidR="00654097">
        <w:t>, and Marmo, L. (2018) Sound barriers management in process safety: a bow-tie approach according to the first official AIChE—CCPS guidelines, Chemical Engineering Transactions, 67, 253-258.</w:t>
      </w:r>
      <w:r>
        <w:t xml:space="preserve"> DOI: 10.3303/CET1867043</w:t>
      </w:r>
      <w:r w:rsidR="00654097">
        <w:t>.</w:t>
      </w:r>
    </w:p>
    <w:p w14:paraId="4E9CDABB" w14:textId="509E6BBB" w:rsidR="0035110E" w:rsidRPr="00DC049B" w:rsidRDefault="0035110E" w:rsidP="000B350B">
      <w:pPr>
        <w:pStyle w:val="CETReferencetext"/>
      </w:pPr>
      <w:r w:rsidRPr="00DC049B">
        <w:t xml:space="preserve">Kelly, T. (2004) ‘A systematic approach to </w:t>
      </w:r>
      <w:r w:rsidR="003F3512" w:rsidRPr="00DC049B">
        <w:t>Safety Case</w:t>
      </w:r>
      <w:r w:rsidRPr="00DC049B">
        <w:t xml:space="preserve"> management’. SAE Transactions, 113, pp. 257–266.</w:t>
      </w:r>
    </w:p>
    <w:p w14:paraId="11EC6727" w14:textId="4BF7D3C4" w:rsidR="0035110E" w:rsidRPr="00DC049B" w:rsidRDefault="0035110E" w:rsidP="000B350B">
      <w:pPr>
        <w:pStyle w:val="CETReferencetext"/>
      </w:pPr>
      <w:r w:rsidRPr="00DC049B">
        <w:t xml:space="preserve">Maguire, R. (2017) </w:t>
      </w:r>
      <w:r w:rsidR="003F3512" w:rsidRPr="00DC049B">
        <w:t>Safety Case</w:t>
      </w:r>
      <w:r w:rsidRPr="00DC049B">
        <w:t>s and safety reports: Meaning, Motivation and Management. 1st ed. London: Routledge.</w:t>
      </w:r>
    </w:p>
    <w:p w14:paraId="353E0B40" w14:textId="6AFCF432" w:rsidR="0035110E" w:rsidRPr="00DC049B" w:rsidRDefault="0035110E" w:rsidP="000B350B">
      <w:pPr>
        <w:pStyle w:val="CETReferencetext"/>
      </w:pPr>
      <w:r w:rsidRPr="00DC049B">
        <w:t xml:space="preserve">Marrazzo, R. (2021) </w:t>
      </w:r>
      <w:r w:rsidR="007F397B" w:rsidRPr="00DC049B">
        <w:t>ISPRA's experience in inspections of the Safety Management System for the Prevention of Major Accidents (in Italian).</w:t>
      </w:r>
    </w:p>
    <w:p w14:paraId="2842660D" w14:textId="3073B82E" w:rsidR="0035110E" w:rsidRPr="00DC049B" w:rsidRDefault="0035110E" w:rsidP="000B350B">
      <w:pPr>
        <w:pStyle w:val="CETReferencetext"/>
      </w:pPr>
      <w:r w:rsidRPr="00DC049B">
        <w:t xml:space="preserve">McDade, D. (2021) ‘Operationalising’ </w:t>
      </w:r>
      <w:r w:rsidR="003F3512" w:rsidRPr="00DC049B">
        <w:t>Safety Case</w:t>
      </w:r>
      <w:r w:rsidRPr="00DC049B">
        <w:t xml:space="preserve">s – How to share and use </w:t>
      </w:r>
      <w:r w:rsidR="003F3512" w:rsidRPr="00DC049B">
        <w:t>Safety Case</w:t>
      </w:r>
      <w:r w:rsidRPr="00DC049B">
        <w:t>s. Warrington: Risktec Inc.</w:t>
      </w:r>
    </w:p>
    <w:p w14:paraId="1F43DB28" w14:textId="09C141C9" w:rsidR="00BA2FE1" w:rsidRPr="00DC049B" w:rsidRDefault="00BA2FE1" w:rsidP="000B350B">
      <w:pPr>
        <w:pStyle w:val="CETReferencetext"/>
      </w:pPr>
      <w:r w:rsidRPr="00DC049B">
        <w:t>Melchers, R. (2001) On the ALARP approach to risk management. Reliability Engineering &amp; System Safety, 71(2), pp.201-208.</w:t>
      </w:r>
    </w:p>
    <w:p w14:paraId="387915CC" w14:textId="77777777" w:rsidR="0035110E" w:rsidRPr="00DC049B" w:rsidRDefault="0035110E" w:rsidP="000B350B">
      <w:pPr>
        <w:pStyle w:val="CETReferencetext"/>
      </w:pPr>
      <w:r w:rsidRPr="00DC049B">
        <w:t>Spriggs, J. (2012) GSN – The Goal Structuring Notation: A structured approach to presenting arguments. London: Springer.</w:t>
      </w:r>
    </w:p>
    <w:p w14:paraId="1845F499" w14:textId="308481DF" w:rsidR="0035110E" w:rsidRPr="000B350B" w:rsidRDefault="0035110E" w:rsidP="000B350B">
      <w:pPr>
        <w:pStyle w:val="CETReferencetext"/>
      </w:pPr>
      <w:r w:rsidRPr="00DC049B">
        <w:t xml:space="preserve">Vazzana, F. (2019) </w:t>
      </w:r>
      <w:r w:rsidR="007F397B" w:rsidRPr="00DC049B">
        <w:t>Control activities in industrial plants subject to the Seveso Directive: impact on safety and environmental protection aspects (in Italian).</w:t>
      </w:r>
    </w:p>
    <w:sectPr w:rsidR="0035110E" w:rsidRPr="000B350B" w:rsidSect="002930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F36FA" w14:textId="77777777" w:rsidR="00BC674D" w:rsidRPr="00DC049B" w:rsidRDefault="00BC674D" w:rsidP="004F5E36">
      <w:r w:rsidRPr="00DC049B">
        <w:separator/>
      </w:r>
    </w:p>
  </w:endnote>
  <w:endnote w:type="continuationSeparator" w:id="0">
    <w:p w14:paraId="61DBBD43" w14:textId="77777777" w:rsidR="00BC674D" w:rsidRPr="00DC049B" w:rsidRDefault="00BC674D" w:rsidP="004F5E36">
      <w:r w:rsidRPr="00DC04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F033B" w14:textId="77777777" w:rsidR="00BC674D" w:rsidRPr="00DC049B" w:rsidRDefault="00BC674D" w:rsidP="004F5E36">
      <w:r w:rsidRPr="00DC049B">
        <w:separator/>
      </w:r>
    </w:p>
  </w:footnote>
  <w:footnote w:type="continuationSeparator" w:id="0">
    <w:p w14:paraId="66C8A006" w14:textId="77777777" w:rsidR="00BC674D" w:rsidRPr="00DC049B" w:rsidRDefault="00BC674D" w:rsidP="004F5E36">
      <w:r w:rsidRPr="00DC04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96E7FEF"/>
    <w:multiLevelType w:val="hybridMultilevel"/>
    <w:tmpl w:val="6D5A81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38C6B6C"/>
    <w:multiLevelType w:val="hybridMultilevel"/>
    <w:tmpl w:val="CB18F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E8850ED"/>
    <w:multiLevelType w:val="hybridMultilevel"/>
    <w:tmpl w:val="E45E72E6"/>
    <w:lvl w:ilvl="0" w:tplc="0C000005">
      <w:start w:val="1"/>
      <w:numFmt w:val="bullet"/>
      <w:lvlText w:val=""/>
      <w:lvlJc w:val="left"/>
      <w:pPr>
        <w:ind w:left="833" w:hanging="360"/>
      </w:pPr>
      <w:rPr>
        <w:rFonts w:ascii="Wingdings" w:hAnsi="Wingdings" w:hint="default"/>
      </w:rPr>
    </w:lvl>
    <w:lvl w:ilvl="1" w:tplc="0C000003" w:tentative="1">
      <w:start w:val="1"/>
      <w:numFmt w:val="bullet"/>
      <w:lvlText w:val="o"/>
      <w:lvlJc w:val="left"/>
      <w:pPr>
        <w:ind w:left="1553" w:hanging="360"/>
      </w:pPr>
      <w:rPr>
        <w:rFonts w:ascii="Courier New" w:hAnsi="Courier New" w:cs="Courier New" w:hint="default"/>
      </w:rPr>
    </w:lvl>
    <w:lvl w:ilvl="2" w:tplc="0C000005" w:tentative="1">
      <w:start w:val="1"/>
      <w:numFmt w:val="bullet"/>
      <w:lvlText w:val=""/>
      <w:lvlJc w:val="left"/>
      <w:pPr>
        <w:ind w:left="2273" w:hanging="360"/>
      </w:pPr>
      <w:rPr>
        <w:rFonts w:ascii="Wingdings" w:hAnsi="Wingdings" w:hint="default"/>
      </w:rPr>
    </w:lvl>
    <w:lvl w:ilvl="3" w:tplc="0C000001" w:tentative="1">
      <w:start w:val="1"/>
      <w:numFmt w:val="bullet"/>
      <w:lvlText w:val=""/>
      <w:lvlJc w:val="left"/>
      <w:pPr>
        <w:ind w:left="2993" w:hanging="360"/>
      </w:pPr>
      <w:rPr>
        <w:rFonts w:ascii="Symbol" w:hAnsi="Symbol" w:hint="default"/>
      </w:rPr>
    </w:lvl>
    <w:lvl w:ilvl="4" w:tplc="0C000003" w:tentative="1">
      <w:start w:val="1"/>
      <w:numFmt w:val="bullet"/>
      <w:lvlText w:val="o"/>
      <w:lvlJc w:val="left"/>
      <w:pPr>
        <w:ind w:left="3713" w:hanging="360"/>
      </w:pPr>
      <w:rPr>
        <w:rFonts w:ascii="Courier New" w:hAnsi="Courier New" w:cs="Courier New" w:hint="default"/>
      </w:rPr>
    </w:lvl>
    <w:lvl w:ilvl="5" w:tplc="0C000005" w:tentative="1">
      <w:start w:val="1"/>
      <w:numFmt w:val="bullet"/>
      <w:lvlText w:val=""/>
      <w:lvlJc w:val="left"/>
      <w:pPr>
        <w:ind w:left="4433" w:hanging="360"/>
      </w:pPr>
      <w:rPr>
        <w:rFonts w:ascii="Wingdings" w:hAnsi="Wingdings" w:hint="default"/>
      </w:rPr>
    </w:lvl>
    <w:lvl w:ilvl="6" w:tplc="0C000001" w:tentative="1">
      <w:start w:val="1"/>
      <w:numFmt w:val="bullet"/>
      <w:lvlText w:val=""/>
      <w:lvlJc w:val="left"/>
      <w:pPr>
        <w:ind w:left="5153" w:hanging="360"/>
      </w:pPr>
      <w:rPr>
        <w:rFonts w:ascii="Symbol" w:hAnsi="Symbol" w:hint="default"/>
      </w:rPr>
    </w:lvl>
    <w:lvl w:ilvl="7" w:tplc="0C000003" w:tentative="1">
      <w:start w:val="1"/>
      <w:numFmt w:val="bullet"/>
      <w:lvlText w:val="o"/>
      <w:lvlJc w:val="left"/>
      <w:pPr>
        <w:ind w:left="5873" w:hanging="360"/>
      </w:pPr>
      <w:rPr>
        <w:rFonts w:ascii="Courier New" w:hAnsi="Courier New" w:cs="Courier New" w:hint="default"/>
      </w:rPr>
    </w:lvl>
    <w:lvl w:ilvl="8" w:tplc="0C000005" w:tentative="1">
      <w:start w:val="1"/>
      <w:numFmt w:val="bullet"/>
      <w:lvlText w:val=""/>
      <w:lvlJc w:val="left"/>
      <w:pPr>
        <w:ind w:left="6593"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4D0BA5"/>
    <w:multiLevelType w:val="multilevel"/>
    <w:tmpl w:val="28F23332"/>
    <w:lvl w:ilvl="0">
      <w:start w:val="1"/>
      <w:numFmt w:val="bullet"/>
      <w:pStyle w:val="1st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6722257"/>
    <w:multiLevelType w:val="hybridMultilevel"/>
    <w:tmpl w:val="51A22CF0"/>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A36839"/>
    <w:multiLevelType w:val="hybridMultilevel"/>
    <w:tmpl w:val="42A63F0E"/>
    <w:lvl w:ilvl="0" w:tplc="0C000005">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643778708">
    <w:abstractNumId w:val="12"/>
  </w:num>
  <w:num w:numId="2" w16cid:durableId="81537981">
    <w:abstractNumId w:val="8"/>
  </w:num>
  <w:num w:numId="3" w16cid:durableId="1483690243">
    <w:abstractNumId w:val="3"/>
  </w:num>
  <w:num w:numId="4" w16cid:durableId="1115635049">
    <w:abstractNumId w:val="2"/>
  </w:num>
  <w:num w:numId="5" w16cid:durableId="1582131966">
    <w:abstractNumId w:val="1"/>
  </w:num>
  <w:num w:numId="6" w16cid:durableId="1962573132">
    <w:abstractNumId w:val="0"/>
  </w:num>
  <w:num w:numId="7" w16cid:durableId="1316910887">
    <w:abstractNumId w:val="9"/>
  </w:num>
  <w:num w:numId="8" w16cid:durableId="1996956551">
    <w:abstractNumId w:val="7"/>
  </w:num>
  <w:num w:numId="9" w16cid:durableId="716853943">
    <w:abstractNumId w:val="6"/>
  </w:num>
  <w:num w:numId="10" w16cid:durableId="805273343">
    <w:abstractNumId w:val="5"/>
  </w:num>
  <w:num w:numId="11" w16cid:durableId="678509286">
    <w:abstractNumId w:val="4"/>
  </w:num>
  <w:num w:numId="12" w16cid:durableId="907618791">
    <w:abstractNumId w:val="21"/>
  </w:num>
  <w:num w:numId="13" w16cid:durableId="1562598187">
    <w:abstractNumId w:val="15"/>
  </w:num>
  <w:num w:numId="14" w16cid:durableId="1243564027">
    <w:abstractNumId w:val="23"/>
  </w:num>
  <w:num w:numId="15" w16cid:durableId="864640505">
    <w:abstractNumId w:val="25"/>
  </w:num>
  <w:num w:numId="16" w16cid:durableId="510224623">
    <w:abstractNumId w:val="24"/>
  </w:num>
  <w:num w:numId="17" w16cid:durableId="1907257391">
    <w:abstractNumId w:val="14"/>
  </w:num>
  <w:num w:numId="18" w16cid:durableId="1251234801">
    <w:abstractNumId w:val="15"/>
    <w:lvlOverride w:ilvl="0">
      <w:startOverride w:val="1"/>
    </w:lvlOverride>
  </w:num>
  <w:num w:numId="19" w16cid:durableId="1745761517">
    <w:abstractNumId w:val="20"/>
  </w:num>
  <w:num w:numId="20" w16cid:durableId="1462578533">
    <w:abstractNumId w:val="19"/>
  </w:num>
  <w:num w:numId="21" w16cid:durableId="1385442513">
    <w:abstractNumId w:val="18"/>
  </w:num>
  <w:num w:numId="22" w16cid:durableId="552817185">
    <w:abstractNumId w:val="17"/>
  </w:num>
  <w:num w:numId="23" w16cid:durableId="722405351">
    <w:abstractNumId w:val="10"/>
  </w:num>
  <w:num w:numId="24" w16cid:durableId="1520659402">
    <w:abstractNumId w:val="13"/>
  </w:num>
  <w:num w:numId="25" w16cid:durableId="1149058296">
    <w:abstractNumId w:val="26"/>
  </w:num>
  <w:num w:numId="26" w16cid:durableId="58969918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53092">
    <w:abstractNumId w:val="11"/>
  </w:num>
  <w:num w:numId="28" w16cid:durableId="195472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D1"/>
    <w:rsid w:val="000117CB"/>
    <w:rsid w:val="0003148D"/>
    <w:rsid w:val="00031EEC"/>
    <w:rsid w:val="00051566"/>
    <w:rsid w:val="00062A9A"/>
    <w:rsid w:val="00064985"/>
    <w:rsid w:val="00065058"/>
    <w:rsid w:val="0008484A"/>
    <w:rsid w:val="00086C39"/>
    <w:rsid w:val="000964EC"/>
    <w:rsid w:val="000977D3"/>
    <w:rsid w:val="000A03B2"/>
    <w:rsid w:val="000B350B"/>
    <w:rsid w:val="000D0268"/>
    <w:rsid w:val="000D34BE"/>
    <w:rsid w:val="000E09F8"/>
    <w:rsid w:val="000E102F"/>
    <w:rsid w:val="000E36F1"/>
    <w:rsid w:val="000E3A73"/>
    <w:rsid w:val="000E414A"/>
    <w:rsid w:val="000E5124"/>
    <w:rsid w:val="000F093C"/>
    <w:rsid w:val="000F787B"/>
    <w:rsid w:val="00106B28"/>
    <w:rsid w:val="0012091F"/>
    <w:rsid w:val="00126B0A"/>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C4D"/>
    <w:rsid w:val="001B1E93"/>
    <w:rsid w:val="001B65C1"/>
    <w:rsid w:val="001C684B"/>
    <w:rsid w:val="001D0CFB"/>
    <w:rsid w:val="001D53FC"/>
    <w:rsid w:val="001F42A5"/>
    <w:rsid w:val="001F7B9D"/>
    <w:rsid w:val="00201C93"/>
    <w:rsid w:val="002224B4"/>
    <w:rsid w:val="002447EF"/>
    <w:rsid w:val="00251550"/>
    <w:rsid w:val="00263B05"/>
    <w:rsid w:val="0027221A"/>
    <w:rsid w:val="00275B61"/>
    <w:rsid w:val="00280FAF"/>
    <w:rsid w:val="00282656"/>
    <w:rsid w:val="0029308D"/>
    <w:rsid w:val="00296B83"/>
    <w:rsid w:val="002B4015"/>
    <w:rsid w:val="002B78CE"/>
    <w:rsid w:val="002C2FB6"/>
    <w:rsid w:val="002E3844"/>
    <w:rsid w:val="002E5FA7"/>
    <w:rsid w:val="002F3309"/>
    <w:rsid w:val="003008CE"/>
    <w:rsid w:val="003009B7"/>
    <w:rsid w:val="00300E56"/>
    <w:rsid w:val="0030469C"/>
    <w:rsid w:val="00321CA6"/>
    <w:rsid w:val="00323763"/>
    <w:rsid w:val="003305E5"/>
    <w:rsid w:val="00334C09"/>
    <w:rsid w:val="0035110E"/>
    <w:rsid w:val="003723D4"/>
    <w:rsid w:val="003745E8"/>
    <w:rsid w:val="00381905"/>
    <w:rsid w:val="00384CC8"/>
    <w:rsid w:val="003871FD"/>
    <w:rsid w:val="003A1E30"/>
    <w:rsid w:val="003A2829"/>
    <w:rsid w:val="003A7D1C"/>
    <w:rsid w:val="003B304B"/>
    <w:rsid w:val="003B3146"/>
    <w:rsid w:val="003D0F13"/>
    <w:rsid w:val="003F015E"/>
    <w:rsid w:val="003F3512"/>
    <w:rsid w:val="00400414"/>
    <w:rsid w:val="00405FAD"/>
    <w:rsid w:val="0041446B"/>
    <w:rsid w:val="00436351"/>
    <w:rsid w:val="0044329C"/>
    <w:rsid w:val="00453E24"/>
    <w:rsid w:val="00457456"/>
    <w:rsid w:val="004577FE"/>
    <w:rsid w:val="00457B9C"/>
    <w:rsid w:val="0046164A"/>
    <w:rsid w:val="004628D2"/>
    <w:rsid w:val="00462DCD"/>
    <w:rsid w:val="004648AD"/>
    <w:rsid w:val="004703A9"/>
    <w:rsid w:val="004760DE"/>
    <w:rsid w:val="004763D7"/>
    <w:rsid w:val="00490CC7"/>
    <w:rsid w:val="004A004E"/>
    <w:rsid w:val="004A24CF"/>
    <w:rsid w:val="004C3D1D"/>
    <w:rsid w:val="004C6973"/>
    <w:rsid w:val="004C7913"/>
    <w:rsid w:val="004E4DD6"/>
    <w:rsid w:val="004F5E36"/>
    <w:rsid w:val="005035C9"/>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329E"/>
    <w:rsid w:val="00625639"/>
    <w:rsid w:val="00631B33"/>
    <w:rsid w:val="0064184D"/>
    <w:rsid w:val="006422CC"/>
    <w:rsid w:val="00654097"/>
    <w:rsid w:val="00660E3E"/>
    <w:rsid w:val="00662E74"/>
    <w:rsid w:val="00665323"/>
    <w:rsid w:val="00680C23"/>
    <w:rsid w:val="00693766"/>
    <w:rsid w:val="006A3281"/>
    <w:rsid w:val="006B4888"/>
    <w:rsid w:val="006C0264"/>
    <w:rsid w:val="006C2E45"/>
    <w:rsid w:val="006C359C"/>
    <w:rsid w:val="006C5579"/>
    <w:rsid w:val="006D6E8B"/>
    <w:rsid w:val="006E737D"/>
    <w:rsid w:val="00713973"/>
    <w:rsid w:val="00720A24"/>
    <w:rsid w:val="00732386"/>
    <w:rsid w:val="00732F03"/>
    <w:rsid w:val="0073514D"/>
    <w:rsid w:val="007447F3"/>
    <w:rsid w:val="0075499F"/>
    <w:rsid w:val="007661C8"/>
    <w:rsid w:val="0077098D"/>
    <w:rsid w:val="007931FA"/>
    <w:rsid w:val="007A4861"/>
    <w:rsid w:val="007A7BBA"/>
    <w:rsid w:val="007B0C50"/>
    <w:rsid w:val="007B48F9"/>
    <w:rsid w:val="007C1A43"/>
    <w:rsid w:val="007D21A3"/>
    <w:rsid w:val="007E61C1"/>
    <w:rsid w:val="007F2B4B"/>
    <w:rsid w:val="007F397B"/>
    <w:rsid w:val="0080013E"/>
    <w:rsid w:val="0080529C"/>
    <w:rsid w:val="00813288"/>
    <w:rsid w:val="008168FC"/>
    <w:rsid w:val="00823874"/>
    <w:rsid w:val="00825DD9"/>
    <w:rsid w:val="00830996"/>
    <w:rsid w:val="008345F1"/>
    <w:rsid w:val="00862DA6"/>
    <w:rsid w:val="00865B07"/>
    <w:rsid w:val="008667EA"/>
    <w:rsid w:val="0087637F"/>
    <w:rsid w:val="0087695C"/>
    <w:rsid w:val="00880BF1"/>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75B57"/>
    <w:rsid w:val="00993B84"/>
    <w:rsid w:val="00996483"/>
    <w:rsid w:val="00996F5A"/>
    <w:rsid w:val="009A61DB"/>
    <w:rsid w:val="009B041A"/>
    <w:rsid w:val="009C37C3"/>
    <w:rsid w:val="009C7C86"/>
    <w:rsid w:val="009D2FF7"/>
    <w:rsid w:val="009E0332"/>
    <w:rsid w:val="009E7884"/>
    <w:rsid w:val="009E788A"/>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2398"/>
    <w:rsid w:val="00AB5011"/>
    <w:rsid w:val="00AC7368"/>
    <w:rsid w:val="00AD16B9"/>
    <w:rsid w:val="00AE377D"/>
    <w:rsid w:val="00AF0EBA"/>
    <w:rsid w:val="00B02C8A"/>
    <w:rsid w:val="00B17FBD"/>
    <w:rsid w:val="00B225A7"/>
    <w:rsid w:val="00B315A6"/>
    <w:rsid w:val="00B31813"/>
    <w:rsid w:val="00B33365"/>
    <w:rsid w:val="00B57B36"/>
    <w:rsid w:val="00B57E6F"/>
    <w:rsid w:val="00B723A1"/>
    <w:rsid w:val="00B8686D"/>
    <w:rsid w:val="00B93F69"/>
    <w:rsid w:val="00BA2FE1"/>
    <w:rsid w:val="00BB071A"/>
    <w:rsid w:val="00BB1DDC"/>
    <w:rsid w:val="00BB3849"/>
    <w:rsid w:val="00BC30C9"/>
    <w:rsid w:val="00BC674D"/>
    <w:rsid w:val="00BD077D"/>
    <w:rsid w:val="00BE241E"/>
    <w:rsid w:val="00BE3E58"/>
    <w:rsid w:val="00C01616"/>
    <w:rsid w:val="00C0162B"/>
    <w:rsid w:val="00C016BE"/>
    <w:rsid w:val="00C068ED"/>
    <w:rsid w:val="00C06AA1"/>
    <w:rsid w:val="00C22E0C"/>
    <w:rsid w:val="00C345B1"/>
    <w:rsid w:val="00C40142"/>
    <w:rsid w:val="00C52C3C"/>
    <w:rsid w:val="00C56F60"/>
    <w:rsid w:val="00C57182"/>
    <w:rsid w:val="00C57863"/>
    <w:rsid w:val="00C655FD"/>
    <w:rsid w:val="00C73750"/>
    <w:rsid w:val="00C73D33"/>
    <w:rsid w:val="00C75407"/>
    <w:rsid w:val="00C870A8"/>
    <w:rsid w:val="00C94434"/>
    <w:rsid w:val="00CA0D75"/>
    <w:rsid w:val="00CA1C95"/>
    <w:rsid w:val="00CA46BE"/>
    <w:rsid w:val="00CA5A9C"/>
    <w:rsid w:val="00CC4C20"/>
    <w:rsid w:val="00CD3517"/>
    <w:rsid w:val="00CD5FE2"/>
    <w:rsid w:val="00CE7C68"/>
    <w:rsid w:val="00D02B4C"/>
    <w:rsid w:val="00D040C4"/>
    <w:rsid w:val="00D46B7E"/>
    <w:rsid w:val="00D5431D"/>
    <w:rsid w:val="00D57C84"/>
    <w:rsid w:val="00D6057D"/>
    <w:rsid w:val="00D836C5"/>
    <w:rsid w:val="00D84576"/>
    <w:rsid w:val="00DA1399"/>
    <w:rsid w:val="00DA24C6"/>
    <w:rsid w:val="00DA4D7B"/>
    <w:rsid w:val="00DC049B"/>
    <w:rsid w:val="00DE264A"/>
    <w:rsid w:val="00DF5072"/>
    <w:rsid w:val="00E02D18"/>
    <w:rsid w:val="00E041E7"/>
    <w:rsid w:val="00E06A26"/>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3718C"/>
    <w:rsid w:val="00F565FE"/>
    <w:rsid w:val="00F63A70"/>
    <w:rsid w:val="00F7534E"/>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1stBullet">
    <w:name w:val="1st Bullet"/>
    <w:basedOn w:val="Paragrafoelenco"/>
    <w:rsid w:val="00C73D33"/>
    <w:pPr>
      <w:numPr>
        <w:numId w:val="26"/>
      </w:numPr>
      <w:tabs>
        <w:tab w:val="clear" w:pos="7100"/>
        <w:tab w:val="num" w:pos="360"/>
      </w:tabs>
      <w:spacing w:before="160" w:after="160" w:line="360" w:lineRule="auto"/>
      <w:ind w:left="720" w:firstLine="0"/>
      <w:contextualSpacing w:val="0"/>
    </w:pPr>
    <w:rPr>
      <w:rFonts w:ascii="Times New Roman" w:eastAsiaTheme="minorHAnsi" w:hAnsi="Times New Roman" w:cstheme="minorBidi"/>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94788">
      <w:bodyDiv w:val="1"/>
      <w:marLeft w:val="0"/>
      <w:marRight w:val="0"/>
      <w:marTop w:val="0"/>
      <w:marBottom w:val="0"/>
      <w:divBdr>
        <w:top w:val="none" w:sz="0" w:space="0" w:color="auto"/>
        <w:left w:val="none" w:sz="0" w:space="0" w:color="auto"/>
        <w:bottom w:val="none" w:sz="0" w:space="0" w:color="auto"/>
        <w:right w:val="none" w:sz="0" w:space="0" w:color="auto"/>
      </w:divBdr>
    </w:div>
    <w:div w:id="64246567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981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5196">
      <w:bodyDiv w:val="1"/>
      <w:marLeft w:val="0"/>
      <w:marRight w:val="0"/>
      <w:marTop w:val="0"/>
      <w:marBottom w:val="0"/>
      <w:divBdr>
        <w:top w:val="none" w:sz="0" w:space="0" w:color="auto"/>
        <w:left w:val="none" w:sz="0" w:space="0" w:color="auto"/>
        <w:bottom w:val="none" w:sz="0" w:space="0" w:color="auto"/>
        <w:right w:val="none" w:sz="0" w:space="0" w:color="auto"/>
      </w:divBdr>
    </w:div>
    <w:div w:id="1032879927">
      <w:bodyDiv w:val="1"/>
      <w:marLeft w:val="0"/>
      <w:marRight w:val="0"/>
      <w:marTop w:val="0"/>
      <w:marBottom w:val="0"/>
      <w:divBdr>
        <w:top w:val="none" w:sz="0" w:space="0" w:color="auto"/>
        <w:left w:val="none" w:sz="0" w:space="0" w:color="auto"/>
        <w:bottom w:val="none" w:sz="0" w:space="0" w:color="auto"/>
        <w:right w:val="none" w:sz="0" w:space="0" w:color="auto"/>
      </w:divBdr>
    </w:div>
    <w:div w:id="1098212018">
      <w:bodyDiv w:val="1"/>
      <w:marLeft w:val="0"/>
      <w:marRight w:val="0"/>
      <w:marTop w:val="0"/>
      <w:marBottom w:val="0"/>
      <w:divBdr>
        <w:top w:val="none" w:sz="0" w:space="0" w:color="auto"/>
        <w:left w:val="none" w:sz="0" w:space="0" w:color="auto"/>
        <w:bottom w:val="none" w:sz="0" w:space="0" w:color="auto"/>
        <w:right w:val="none" w:sz="0" w:space="0" w:color="auto"/>
      </w:divBdr>
    </w:div>
    <w:div w:id="1238321006">
      <w:bodyDiv w:val="1"/>
      <w:marLeft w:val="0"/>
      <w:marRight w:val="0"/>
      <w:marTop w:val="0"/>
      <w:marBottom w:val="0"/>
      <w:divBdr>
        <w:top w:val="none" w:sz="0" w:space="0" w:color="auto"/>
        <w:left w:val="none" w:sz="0" w:space="0" w:color="auto"/>
        <w:bottom w:val="none" w:sz="0" w:space="0" w:color="auto"/>
        <w:right w:val="none" w:sz="0" w:space="0" w:color="auto"/>
      </w:divBdr>
    </w:div>
    <w:div w:id="126596407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1642647">
      <w:bodyDiv w:val="1"/>
      <w:marLeft w:val="0"/>
      <w:marRight w:val="0"/>
      <w:marTop w:val="0"/>
      <w:marBottom w:val="0"/>
      <w:divBdr>
        <w:top w:val="none" w:sz="0" w:space="0" w:color="auto"/>
        <w:left w:val="none" w:sz="0" w:space="0" w:color="auto"/>
        <w:bottom w:val="none" w:sz="0" w:space="0" w:color="auto"/>
        <w:right w:val="none" w:sz="0" w:space="0" w:color="auto"/>
      </w:divBdr>
    </w:div>
    <w:div w:id="1557856264">
      <w:bodyDiv w:val="1"/>
      <w:marLeft w:val="0"/>
      <w:marRight w:val="0"/>
      <w:marTop w:val="0"/>
      <w:marBottom w:val="0"/>
      <w:divBdr>
        <w:top w:val="none" w:sz="0" w:space="0" w:color="auto"/>
        <w:left w:val="none" w:sz="0" w:space="0" w:color="auto"/>
        <w:bottom w:val="none" w:sz="0" w:space="0" w:color="auto"/>
        <w:right w:val="none" w:sz="0" w:space="0" w:color="auto"/>
      </w:divBdr>
    </w:div>
    <w:div w:id="1596746176">
      <w:bodyDiv w:val="1"/>
      <w:marLeft w:val="0"/>
      <w:marRight w:val="0"/>
      <w:marTop w:val="0"/>
      <w:marBottom w:val="0"/>
      <w:divBdr>
        <w:top w:val="none" w:sz="0" w:space="0" w:color="auto"/>
        <w:left w:val="none" w:sz="0" w:space="0" w:color="auto"/>
        <w:bottom w:val="none" w:sz="0" w:space="0" w:color="auto"/>
        <w:right w:val="none" w:sz="0" w:space="0" w:color="auto"/>
      </w:divBdr>
    </w:div>
    <w:div w:id="163232096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925">
      <w:bodyDiv w:val="1"/>
      <w:marLeft w:val="0"/>
      <w:marRight w:val="0"/>
      <w:marTop w:val="0"/>
      <w:marBottom w:val="0"/>
      <w:divBdr>
        <w:top w:val="none" w:sz="0" w:space="0" w:color="auto"/>
        <w:left w:val="none" w:sz="0" w:space="0" w:color="auto"/>
        <w:bottom w:val="none" w:sz="0" w:space="0" w:color="auto"/>
        <w:right w:val="none" w:sz="0" w:space="0" w:color="auto"/>
      </w:divBdr>
    </w:div>
    <w:div w:id="1949504025">
      <w:bodyDiv w:val="1"/>
      <w:marLeft w:val="0"/>
      <w:marRight w:val="0"/>
      <w:marTop w:val="0"/>
      <w:marBottom w:val="0"/>
      <w:divBdr>
        <w:top w:val="none" w:sz="0" w:space="0" w:color="auto"/>
        <w:left w:val="none" w:sz="0" w:space="0" w:color="auto"/>
        <w:bottom w:val="none" w:sz="0" w:space="0" w:color="auto"/>
        <w:right w:val="none" w:sz="0" w:space="0" w:color="auto"/>
      </w:divBdr>
    </w:div>
    <w:div w:id="2077628638">
      <w:bodyDiv w:val="1"/>
      <w:marLeft w:val="0"/>
      <w:marRight w:val="0"/>
      <w:marTop w:val="0"/>
      <w:marBottom w:val="0"/>
      <w:divBdr>
        <w:top w:val="none" w:sz="0" w:space="0" w:color="auto"/>
        <w:left w:val="none" w:sz="0" w:space="0" w:color="auto"/>
        <w:bottom w:val="none" w:sz="0" w:space="0" w:color="auto"/>
        <w:right w:val="none" w:sz="0" w:space="0" w:color="auto"/>
      </w:divBdr>
    </w:div>
    <w:div w:id="209677989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C4B6-8628-43DA-BB06-D4ACDA1D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3117</Words>
  <Characters>18142</Characters>
  <Application>Microsoft Office Word</Application>
  <DocSecurity>0</DocSecurity>
  <Lines>323</Lines>
  <Paragraphs>125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Rosario Sicari</cp:lastModifiedBy>
  <cp:revision>5</cp:revision>
  <cp:lastPrinted>2015-05-12T18:31:00Z</cp:lastPrinted>
  <dcterms:created xsi:type="dcterms:W3CDTF">2024-07-01T09:57:00Z</dcterms:created>
  <dcterms:modified xsi:type="dcterms:W3CDTF">2024-07-01T14:01:00Z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76f67e54683849da584229f09e32b865a677ba466dcd373579818f23382d82c1</vt:lpwstr>
  </property>
</Properties>
</file>